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6FF6F" w14:textId="26EE86BF" w:rsidR="004C2E78" w:rsidRPr="00495760" w:rsidRDefault="00C32787" w:rsidP="006326B8">
      <w:pPr>
        <w:pStyle w:val="Title"/>
        <w:pBdr>
          <w:bottom w:val="single" w:sz="4" w:space="1" w:color="auto"/>
        </w:pBdr>
      </w:pPr>
      <w:r>
        <w:t>HR</w:t>
      </w:r>
      <w:r w:rsidR="000825C6">
        <w:t>17</w:t>
      </w:r>
      <w:r w:rsidR="001D0AED" w:rsidRPr="00495760">
        <w:t xml:space="preserve"> - </w:t>
      </w:r>
      <w:r w:rsidR="00EA3961">
        <w:t xml:space="preserve">Rewards and recognition </w:t>
      </w:r>
      <w:r w:rsidR="002E1296" w:rsidRPr="00495760">
        <w:t>policy</w:t>
      </w:r>
    </w:p>
    <w:p w14:paraId="5930EAA7" w14:textId="77777777" w:rsidR="004C2E78" w:rsidRPr="00F644EC" w:rsidRDefault="004C2E78" w:rsidP="006326B8">
      <w:pPr>
        <w:pStyle w:val="Heading4"/>
      </w:pPr>
      <w:r w:rsidRPr="00F644EC">
        <w:t>Purpose</w:t>
      </w:r>
    </w:p>
    <w:p w14:paraId="37A7725B" w14:textId="2D6D3FF8" w:rsidR="00A660C4" w:rsidRPr="00A660C4" w:rsidRDefault="00EA3961" w:rsidP="00A660C4">
      <w:r w:rsidRPr="00EA3961">
        <w:t>Living &amp; Learning Nillumbik is committed to recognising and showing appreciation to its volunteers and life members for it</w:t>
      </w:r>
      <w:r>
        <w:t>s community-strengthening work</w:t>
      </w:r>
      <w:r w:rsidR="00A660C4" w:rsidRPr="00A660C4">
        <w:t xml:space="preserve">.  </w:t>
      </w:r>
      <w:r>
        <w:t xml:space="preserve">The purpose of this policy is to </w:t>
      </w:r>
      <w:r w:rsidRPr="00EA3961">
        <w:t>establish clear and appropriate ways of applying recognition and reward to people who have given significant voluntary support to Living &amp; Learning Nillumbik.</w:t>
      </w:r>
    </w:p>
    <w:p w14:paraId="2DDACFF9" w14:textId="561B49CF" w:rsidR="00A660C4" w:rsidRPr="00CD3C1B" w:rsidRDefault="00EA3961" w:rsidP="00A660C4">
      <w:pPr>
        <w:pStyle w:val="Heading4"/>
      </w:pPr>
      <w:r>
        <w:t>Scope</w:t>
      </w:r>
    </w:p>
    <w:p w14:paraId="04BAE365" w14:textId="77777777" w:rsidR="00EA3961" w:rsidRPr="00EA3961" w:rsidRDefault="00EA3961" w:rsidP="00EA3961">
      <w:r w:rsidRPr="00EA3961">
        <w:t>This policy applies to volunteers and life members of Living &amp; Learning Nillumbik.</w:t>
      </w:r>
    </w:p>
    <w:p w14:paraId="3E693ECD" w14:textId="2413531D" w:rsidR="00A660C4" w:rsidRPr="00A660C4" w:rsidRDefault="00EA3961" w:rsidP="00A660C4">
      <w:r w:rsidRPr="00EA3961">
        <w:t>The policy includes Living &amp; Learning Nillumbik courses and activities, with the exception of qualification and pre-accredited courses.</w:t>
      </w:r>
    </w:p>
    <w:p w14:paraId="669B12EA" w14:textId="77777777" w:rsidR="00A660C4" w:rsidRPr="00016026" w:rsidRDefault="00A660C4" w:rsidP="00A660C4">
      <w:pPr>
        <w:pStyle w:val="Heading4"/>
      </w:pPr>
      <w:r w:rsidRPr="00016026">
        <w:t>Definitions</w:t>
      </w:r>
    </w:p>
    <w:p w14:paraId="79EED08E" w14:textId="468B30F7" w:rsidR="00EA3961" w:rsidRPr="00EA3961" w:rsidRDefault="00EA3961" w:rsidP="00EA3961">
      <w:r w:rsidRPr="00EA3961">
        <w:rPr>
          <w:b/>
        </w:rPr>
        <w:t>Volunteers</w:t>
      </w:r>
      <w:r w:rsidRPr="00EA3961">
        <w:t xml:space="preserve"> </w:t>
      </w:r>
      <w:r>
        <w:t xml:space="preserve">are people who </w:t>
      </w:r>
      <w:r w:rsidRPr="00EA3961">
        <w:t xml:space="preserve">offer their time and skills to support the work Living &amp; Learning Nillumbik does to provide opportunities to share learn and connect.  </w:t>
      </w:r>
    </w:p>
    <w:p w14:paraId="166FEB90" w14:textId="27F69C60" w:rsidR="00A660C4" w:rsidRDefault="00EA3961" w:rsidP="00A660C4">
      <w:r w:rsidRPr="00EA3961">
        <w:rPr>
          <w:b/>
        </w:rPr>
        <w:t xml:space="preserve">Life Members </w:t>
      </w:r>
      <w:r w:rsidRPr="00EA3961">
        <w:t xml:space="preserve">are committee members, staff, volunteers, individual participants, and groups that have been recognised for their significant contributions to the organisation.   </w:t>
      </w:r>
    </w:p>
    <w:p w14:paraId="35E30B93" w14:textId="53CEC941" w:rsidR="00F5444B" w:rsidRPr="00F5444B" w:rsidRDefault="004C2E78" w:rsidP="00F5444B">
      <w:pPr>
        <w:pStyle w:val="Heading4"/>
      </w:pPr>
      <w:r w:rsidRPr="00F644EC">
        <w:t>Policy</w:t>
      </w:r>
    </w:p>
    <w:p w14:paraId="185CC1FC" w14:textId="535A487F" w:rsidR="00F5444B" w:rsidRPr="00F5444B" w:rsidRDefault="00F5444B" w:rsidP="00A660C4">
      <w:pPr>
        <w:pStyle w:val="ListContinue"/>
        <w:rPr>
          <w:b/>
        </w:rPr>
      </w:pPr>
      <w:r>
        <w:t>No monetary rewards or recognition will be used</w:t>
      </w:r>
    </w:p>
    <w:p w14:paraId="1C1EA7A2" w14:textId="3B2B1C50" w:rsidR="00A660C4" w:rsidRPr="00EA3961" w:rsidRDefault="00EA3961" w:rsidP="00A660C4">
      <w:pPr>
        <w:pStyle w:val="ListContinue"/>
        <w:rPr>
          <w:b/>
        </w:rPr>
      </w:pPr>
      <w:r w:rsidRPr="00EA3961">
        <w:rPr>
          <w:b/>
        </w:rPr>
        <w:t>Free reward places</w:t>
      </w:r>
    </w:p>
    <w:p w14:paraId="7FE9FF9A" w14:textId="77777777" w:rsidR="00EA3961" w:rsidRPr="00EA3961" w:rsidRDefault="00EA3961" w:rsidP="00EA3961">
      <w:pPr>
        <w:ind w:left="720"/>
      </w:pPr>
      <w:r w:rsidRPr="00EA3961">
        <w:t xml:space="preserve">Rewards may consist of free reward places in courses and activities </w:t>
      </w:r>
    </w:p>
    <w:p w14:paraId="4EFFAF48" w14:textId="53C968A6" w:rsidR="00EA3961" w:rsidRPr="00EA3961" w:rsidRDefault="00F5444B" w:rsidP="00EA3961">
      <w:pPr>
        <w:ind w:left="720"/>
      </w:pPr>
      <w:r>
        <w:t>Places</w:t>
      </w:r>
      <w:r w:rsidR="00EA3961" w:rsidRPr="00EA3961">
        <w:t xml:space="preserve"> in courses, activities and events do not include any materials, which must be paid for separately.</w:t>
      </w:r>
    </w:p>
    <w:p w14:paraId="41F42C0E" w14:textId="77777777" w:rsidR="00EA3961" w:rsidRPr="00EA3961" w:rsidRDefault="00EA3961" w:rsidP="00EA3961">
      <w:pPr>
        <w:ind w:left="720"/>
        <w:rPr>
          <w:b/>
        </w:rPr>
      </w:pPr>
      <w:r w:rsidRPr="00EA3961">
        <w:rPr>
          <w:b/>
        </w:rPr>
        <w:t>Procedure:</w:t>
      </w:r>
    </w:p>
    <w:p w14:paraId="4F4AF931" w14:textId="12E53A57" w:rsidR="00EA3961" w:rsidRPr="00EA3961" w:rsidRDefault="00EA3961" w:rsidP="00EA3961">
      <w:pPr>
        <w:pStyle w:val="ListBullet2"/>
        <w:ind w:left="1083"/>
      </w:pPr>
      <w:r w:rsidRPr="00EA3961">
        <w:t>48 hours prior to a course or activity commencing, place</w:t>
      </w:r>
      <w:r w:rsidR="00F5444B">
        <w:t>s</w:t>
      </w:r>
      <w:r w:rsidRPr="00EA3961">
        <w:t xml:space="preserve"> will be made available for a volunteer or life member to take up as a free reward place (provided the course is not already full). </w:t>
      </w:r>
    </w:p>
    <w:p w14:paraId="0A469A0E" w14:textId="77777777" w:rsidR="00EA3961" w:rsidRPr="00EA3961" w:rsidRDefault="00EA3961" w:rsidP="00EA3961">
      <w:pPr>
        <w:pStyle w:val="ListBullet2"/>
        <w:ind w:left="1083"/>
      </w:pPr>
      <w:r w:rsidRPr="00EA3961">
        <w:t>Volunteers or life members can contact Program Coordinator’s within this 48-hour period to enquire about / take up a free reward place.  Prior expressions of interest cannot be taken.</w:t>
      </w:r>
    </w:p>
    <w:p w14:paraId="5190C8FA" w14:textId="77777777" w:rsidR="00EA3961" w:rsidRPr="00EA3961" w:rsidRDefault="00EA3961" w:rsidP="00EA3961">
      <w:pPr>
        <w:pStyle w:val="ListBullet2"/>
        <w:ind w:left="1083"/>
      </w:pPr>
      <w:r w:rsidRPr="00EA3961">
        <w:lastRenderedPageBreak/>
        <w:t>If more than one volunteer or life member requests a free reward place in the same course, further reward places may be granted by the Program Coordinator at their discretion.</w:t>
      </w:r>
    </w:p>
    <w:p w14:paraId="1C3E38B0" w14:textId="64F5409D" w:rsidR="00A660C4" w:rsidRPr="00C32787" w:rsidRDefault="00C32787" w:rsidP="00A660C4">
      <w:pPr>
        <w:pStyle w:val="ListContinue"/>
        <w:rPr>
          <w:b/>
        </w:rPr>
      </w:pPr>
      <w:proofErr w:type="spellStart"/>
      <w:r w:rsidRPr="00C32787">
        <w:rPr>
          <w:b/>
        </w:rPr>
        <w:t>MakerSpaces</w:t>
      </w:r>
      <w:proofErr w:type="spellEnd"/>
    </w:p>
    <w:p w14:paraId="25E03155" w14:textId="3D1466A6" w:rsidR="00C32787" w:rsidRPr="00C32787" w:rsidRDefault="00C32787" w:rsidP="00C32787">
      <w:pPr>
        <w:ind w:left="720"/>
      </w:pPr>
      <w:proofErr w:type="spellStart"/>
      <w:r w:rsidRPr="00C32787">
        <w:t>MakerSpace</w:t>
      </w:r>
      <w:proofErr w:type="spellEnd"/>
      <w:r w:rsidRPr="00C32787">
        <w:t xml:space="preserve"> Coordinators are given a free place in their </w:t>
      </w:r>
      <w:proofErr w:type="spellStart"/>
      <w:r w:rsidRPr="00C32787">
        <w:t>MakerSpace</w:t>
      </w:r>
      <w:proofErr w:type="spellEnd"/>
      <w:r w:rsidR="00F5444B">
        <w:t xml:space="preserve">, as a reward, </w:t>
      </w:r>
      <w:r w:rsidRPr="00C32787">
        <w:t xml:space="preserve">in exchange for performing their </w:t>
      </w:r>
      <w:r w:rsidR="00F73B4F">
        <w:t xml:space="preserve">volunteer </w:t>
      </w:r>
      <w:r w:rsidRPr="00C32787">
        <w:t xml:space="preserve">group coordination role. </w:t>
      </w:r>
    </w:p>
    <w:p w14:paraId="43910D00" w14:textId="31131906" w:rsidR="00A660C4" w:rsidRPr="00C32787" w:rsidRDefault="00C32787" w:rsidP="00A660C4">
      <w:pPr>
        <w:pStyle w:val="ListContinue"/>
        <w:rPr>
          <w:b/>
        </w:rPr>
      </w:pPr>
      <w:r w:rsidRPr="00C32787">
        <w:rPr>
          <w:b/>
        </w:rPr>
        <w:t>Certificates of appreciation and gifts</w:t>
      </w:r>
    </w:p>
    <w:p w14:paraId="3F22F377" w14:textId="77777777" w:rsidR="00C32787" w:rsidRPr="00C32787" w:rsidRDefault="00C32787" w:rsidP="00C32787">
      <w:pPr>
        <w:ind w:left="720"/>
      </w:pPr>
      <w:r w:rsidRPr="00C32787">
        <w:t xml:space="preserve">Recognition may consist of certificates of appreciation and inexpensive gifts. </w:t>
      </w:r>
    </w:p>
    <w:p w14:paraId="3AE304AE" w14:textId="77777777" w:rsidR="00C32787" w:rsidRPr="00C32787" w:rsidRDefault="00C32787" w:rsidP="00C32787">
      <w:pPr>
        <w:ind w:left="720"/>
      </w:pPr>
      <w:r w:rsidRPr="00C32787">
        <w:t xml:space="preserve">Certificates will be prepared using the approved Nillumbik Shire Council or Living &amp; Learning Nillumbik volunteer, life membership or recognition certificate template.  </w:t>
      </w:r>
    </w:p>
    <w:p w14:paraId="64D888BB" w14:textId="47F6AAD2" w:rsidR="00A660C4" w:rsidRPr="00A660C4" w:rsidRDefault="00C32787" w:rsidP="00C32787">
      <w:pPr>
        <w:ind w:left="720"/>
      </w:pPr>
      <w:r w:rsidRPr="00C32787">
        <w:t>Inexpensive gifts may be given in recognition of service, at the discretion of Program Coordinators and subject to Living &amp; Learning Nillumbik Coordinator</w:t>
      </w:r>
      <w:r>
        <w:t xml:space="preserve"> approval</w:t>
      </w:r>
      <w:r w:rsidR="00A660C4" w:rsidRPr="00A660C4">
        <w:t>.</w:t>
      </w:r>
    </w:p>
    <w:p w14:paraId="62024C6B" w14:textId="5A9EEEC5" w:rsidR="00A660C4" w:rsidRPr="00C32787" w:rsidRDefault="00C32787" w:rsidP="00A660C4">
      <w:pPr>
        <w:pStyle w:val="ListContinue"/>
        <w:rPr>
          <w:b/>
        </w:rPr>
      </w:pPr>
      <w:r w:rsidRPr="00C32787">
        <w:rPr>
          <w:b/>
        </w:rPr>
        <w:t>Life membership</w:t>
      </w:r>
    </w:p>
    <w:p w14:paraId="131675D6" w14:textId="4BADC9F7" w:rsidR="00A660C4" w:rsidRPr="00C32787" w:rsidRDefault="00C32787" w:rsidP="00C32787">
      <w:pPr>
        <w:ind w:left="720"/>
        <w:rPr>
          <w:i/>
        </w:rPr>
      </w:pPr>
      <w:r w:rsidRPr="00C32787">
        <w:t>Recognition may be</w:t>
      </w:r>
      <w:r w:rsidR="00F5444B">
        <w:t xml:space="preserve"> by</w:t>
      </w:r>
      <w:r w:rsidRPr="00C32787">
        <w:t xml:space="preserve"> the award</w:t>
      </w:r>
      <w:r w:rsidR="00F5444B">
        <w:t>ing</w:t>
      </w:r>
      <w:r w:rsidRPr="00C32787">
        <w:t xml:space="preserve"> of Living &amp; Learning Nillumbik Life Membership, which is to be implemented in accordance with the </w:t>
      </w:r>
      <w:r w:rsidRPr="00C32787">
        <w:rPr>
          <w:i/>
        </w:rPr>
        <w:t xml:space="preserve">Recognition of service </w:t>
      </w:r>
      <w:r w:rsidR="00664B41">
        <w:t>-</w:t>
      </w:r>
      <w:r w:rsidRPr="00C32787">
        <w:rPr>
          <w:i/>
        </w:rPr>
        <w:t xml:space="preserve"> life membership policy</w:t>
      </w:r>
      <w:r w:rsidR="00A660C4" w:rsidRPr="00C32787">
        <w:rPr>
          <w:i/>
        </w:rPr>
        <w:t>.</w:t>
      </w:r>
    </w:p>
    <w:p w14:paraId="7FD05162" w14:textId="24B0A6AC" w:rsidR="00C32787" w:rsidRPr="00C32787" w:rsidRDefault="00C32787" w:rsidP="00C32787">
      <w:pPr>
        <w:pStyle w:val="ListContinue"/>
        <w:rPr>
          <w:b/>
        </w:rPr>
      </w:pPr>
      <w:r w:rsidRPr="00C32787">
        <w:rPr>
          <w:b/>
        </w:rPr>
        <w:t>Responsibilities</w:t>
      </w:r>
    </w:p>
    <w:p w14:paraId="27F6DD17" w14:textId="77777777" w:rsidR="00C32787" w:rsidRPr="00C32787" w:rsidRDefault="00C32787" w:rsidP="00C32787">
      <w:pPr>
        <w:ind w:left="720"/>
      </w:pPr>
      <w:r w:rsidRPr="00C32787">
        <w:t>Program Coordinators will authorise actions in relation to volunteers and Life Members.</w:t>
      </w:r>
    </w:p>
    <w:p w14:paraId="75CF16F5" w14:textId="6DDC010B" w:rsidR="00C32787" w:rsidRPr="00C32787" w:rsidRDefault="00C32787" w:rsidP="00C32787">
      <w:pPr>
        <w:ind w:left="720"/>
        <w:rPr>
          <w:i/>
        </w:rPr>
      </w:pPr>
      <w:r w:rsidRPr="00C32787">
        <w:t xml:space="preserve">The award of Life Membership is implemented in accordance with the </w:t>
      </w:r>
      <w:r w:rsidRPr="00C32787">
        <w:rPr>
          <w:i/>
        </w:rPr>
        <w:t xml:space="preserve">Recognition of service </w:t>
      </w:r>
      <w:r w:rsidR="00664B41">
        <w:t>-</w:t>
      </w:r>
      <w:r w:rsidRPr="00C32787">
        <w:rPr>
          <w:i/>
        </w:rPr>
        <w:t xml:space="preserve"> life membership policy. </w:t>
      </w:r>
    </w:p>
    <w:p w14:paraId="6317C80D" w14:textId="77777777" w:rsidR="004C2E78" w:rsidRPr="00F644EC" w:rsidRDefault="004C2E78" w:rsidP="006326B8">
      <w:pPr>
        <w:pStyle w:val="Heading5"/>
      </w:pPr>
      <w:r w:rsidRPr="00F644EC">
        <w:t>Related policies</w:t>
      </w:r>
    </w:p>
    <w:p w14:paraId="75FC8667" w14:textId="4400CBF2" w:rsidR="00A660C4" w:rsidRDefault="00664B41" w:rsidP="00A660C4">
      <w:r>
        <w:t>HR9 Recognition of service - life membership</w:t>
      </w:r>
    </w:p>
    <w:p w14:paraId="10DA878A" w14:textId="491A3F5F" w:rsidR="0070434E" w:rsidRPr="00F644EC" w:rsidRDefault="0070434E" w:rsidP="0070434E">
      <w:pPr>
        <w:pStyle w:val="Heading5"/>
      </w:pPr>
      <w:r w:rsidRPr="00F644EC">
        <w:t xml:space="preserve">Related </w:t>
      </w:r>
      <w:r>
        <w:t>documents</w:t>
      </w:r>
    </w:p>
    <w:p w14:paraId="43F48810" w14:textId="5BDDC8FD" w:rsidR="0070434E" w:rsidRDefault="0070434E" w:rsidP="00A660C4">
      <w:r>
        <w:t>Life Membership Certificate template</w:t>
      </w:r>
    </w:p>
    <w:p w14:paraId="39F2A6D0" w14:textId="100B37C1" w:rsidR="004C2E78" w:rsidRPr="00F644EC" w:rsidRDefault="004C2E78" w:rsidP="006326B8">
      <w:pPr>
        <w:pStyle w:val="Heading5"/>
      </w:pPr>
      <w:r w:rsidRPr="00F644EC">
        <w:t>Document details</w:t>
      </w:r>
    </w:p>
    <w:tbl>
      <w:tblPr>
        <w:tblStyle w:val="CustomTable"/>
        <w:tblW w:w="9786" w:type="dxa"/>
        <w:tblLook w:val="04A0" w:firstRow="1" w:lastRow="0" w:firstColumn="1" w:lastColumn="0" w:noHBand="0" w:noVBand="1"/>
        <w:tblCaption w:val="2015 Fee schedule"/>
        <w:tblDescription w:val="A table showing the differnet fee types and a break down by tuition, amenity and materials."/>
      </w:tblPr>
      <w:tblGrid>
        <w:gridCol w:w="2132"/>
        <w:gridCol w:w="7654"/>
      </w:tblGrid>
      <w:tr w:rsidR="0048583D" w:rsidRPr="00F644EC" w14:paraId="1D70F263" w14:textId="77777777" w:rsidTr="00485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14:paraId="30D9DEEA" w14:textId="56ABB2DC" w:rsidR="0048583D" w:rsidRPr="00F644EC" w:rsidRDefault="0048583D" w:rsidP="0048583D">
            <w:r w:rsidRPr="00F644EC">
              <w:t>Document no. &amp; Name:</w:t>
            </w:r>
          </w:p>
        </w:tc>
        <w:tc>
          <w:tcPr>
            <w:tcW w:w="7654" w:type="dxa"/>
          </w:tcPr>
          <w:p w14:paraId="3149804A" w14:textId="2D2AE0D9" w:rsidR="0048583D" w:rsidRPr="00F644EC" w:rsidRDefault="00F5444B" w:rsidP="004858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FILENAME  \* FirstCap  \* MERGEFORMAT </w:instrText>
            </w:r>
            <w:r>
              <w:fldChar w:fldCharType="separate"/>
            </w:r>
            <w:r w:rsidR="0064361C">
              <w:rPr>
                <w:noProof/>
              </w:rPr>
              <w:t>HR17 - Rewards and recognition policy v2</w:t>
            </w:r>
            <w:r>
              <w:rPr>
                <w:noProof/>
              </w:rPr>
              <w:fldChar w:fldCharType="end"/>
            </w:r>
          </w:p>
        </w:tc>
      </w:tr>
      <w:tr w:rsidR="0048583D" w:rsidRPr="00F644EC" w14:paraId="744CDB8B" w14:textId="77777777" w:rsidTr="00485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14:paraId="110F8786" w14:textId="3EBCECA3" w:rsidR="0048583D" w:rsidRPr="00F644EC" w:rsidRDefault="0048583D" w:rsidP="0048583D">
            <w:r w:rsidRPr="00F644EC">
              <w:t>Quality Area:</w:t>
            </w:r>
          </w:p>
        </w:tc>
        <w:tc>
          <w:tcPr>
            <w:tcW w:w="7654" w:type="dxa"/>
          </w:tcPr>
          <w:p w14:paraId="1BCEE511" w14:textId="03B8A414" w:rsidR="0048583D" w:rsidRPr="00F644EC" w:rsidRDefault="00AF48FC" w:rsidP="00485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Human Resources</w:t>
            </w:r>
          </w:p>
        </w:tc>
      </w:tr>
      <w:tr w:rsidR="0048583D" w:rsidRPr="00F644EC" w14:paraId="2E37CE15" w14:textId="77777777" w:rsidTr="00485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14:paraId="438F47AD" w14:textId="503F270F" w:rsidR="0048583D" w:rsidRPr="00F644EC" w:rsidRDefault="0048583D" w:rsidP="0048583D">
            <w:r w:rsidRPr="00F644EC">
              <w:t>Responsibility:</w:t>
            </w:r>
          </w:p>
        </w:tc>
        <w:tc>
          <w:tcPr>
            <w:tcW w:w="7654" w:type="dxa"/>
          </w:tcPr>
          <w:p w14:paraId="6ABD8C24" w14:textId="33659DD7" w:rsidR="0048583D" w:rsidRPr="00F644EC" w:rsidRDefault="00AD4D10" w:rsidP="004858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Living &amp; Learning Nillumbik</w:t>
            </w:r>
            <w:r w:rsidR="0048583D" w:rsidRPr="00F644EC">
              <w:t xml:space="preserve"> Coordinator</w:t>
            </w:r>
          </w:p>
        </w:tc>
      </w:tr>
      <w:tr w:rsidR="0048583D" w:rsidRPr="00F644EC" w14:paraId="11594185" w14:textId="77777777" w:rsidTr="00485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14:paraId="2DE9BDDE" w14:textId="69EF426E" w:rsidR="0048583D" w:rsidRPr="00F644EC" w:rsidRDefault="0048583D" w:rsidP="0048583D">
            <w:r w:rsidRPr="00F644EC">
              <w:lastRenderedPageBreak/>
              <w:t>Author:</w:t>
            </w:r>
          </w:p>
        </w:tc>
        <w:tc>
          <w:tcPr>
            <w:tcW w:w="7654" w:type="dxa"/>
          </w:tcPr>
          <w:p w14:paraId="7B25B700" w14:textId="5D7B45EA" w:rsidR="0048583D" w:rsidRPr="00F644EC" w:rsidRDefault="001846DB" w:rsidP="00485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44EC">
              <w:t>Living &amp; Learning Nillumbik</w:t>
            </w:r>
          </w:p>
        </w:tc>
      </w:tr>
      <w:tr w:rsidR="0048583D" w:rsidRPr="00F644EC" w14:paraId="1EB9B3D6" w14:textId="77777777" w:rsidTr="00485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14:paraId="28333A13" w14:textId="5FAFAA01" w:rsidR="0048583D" w:rsidRPr="00F644EC" w:rsidRDefault="0048583D" w:rsidP="0048583D">
            <w:r w:rsidRPr="00F644EC">
              <w:t>Status:</w:t>
            </w:r>
          </w:p>
        </w:tc>
        <w:tc>
          <w:tcPr>
            <w:tcW w:w="7654" w:type="dxa"/>
          </w:tcPr>
          <w:p w14:paraId="5047AB91" w14:textId="7A4CED6D" w:rsidR="0048583D" w:rsidRPr="00F644EC" w:rsidRDefault="0064361C" w:rsidP="00F544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APPROVED</w:t>
            </w:r>
          </w:p>
        </w:tc>
      </w:tr>
      <w:tr w:rsidR="0048583D" w:rsidRPr="00F644EC" w14:paraId="17DFC66E" w14:textId="77777777" w:rsidTr="00485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14:paraId="44E57A20" w14:textId="7ECC3A21" w:rsidR="0048583D" w:rsidRPr="00F644EC" w:rsidRDefault="0048583D" w:rsidP="0048583D">
            <w:r w:rsidRPr="00F644EC">
              <w:t>Version:</w:t>
            </w:r>
          </w:p>
        </w:tc>
        <w:tc>
          <w:tcPr>
            <w:tcW w:w="7654" w:type="dxa"/>
          </w:tcPr>
          <w:p w14:paraId="328AF4D8" w14:textId="19551547" w:rsidR="0048583D" w:rsidRPr="00F644EC" w:rsidRDefault="0064361C" w:rsidP="00485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v2</w:t>
            </w:r>
          </w:p>
        </w:tc>
      </w:tr>
      <w:tr w:rsidR="0048583D" w:rsidRPr="00F644EC" w14:paraId="1ED58AEA" w14:textId="77777777" w:rsidTr="00485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14:paraId="03BBE73A" w14:textId="013EF76C" w:rsidR="0048583D" w:rsidRPr="00F644EC" w:rsidRDefault="0048583D" w:rsidP="0048583D">
            <w:r w:rsidRPr="00F644EC">
              <w:t>Approved By:</w:t>
            </w:r>
          </w:p>
        </w:tc>
        <w:tc>
          <w:tcPr>
            <w:tcW w:w="7654" w:type="dxa"/>
          </w:tcPr>
          <w:p w14:paraId="5AA248F3" w14:textId="2C7176FA" w:rsidR="0048583D" w:rsidRPr="00F644EC" w:rsidRDefault="00AD4D10" w:rsidP="004858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Living &amp; Learning Nillumbik</w:t>
            </w:r>
            <w:r w:rsidR="0048583D" w:rsidRPr="00F644EC">
              <w:t xml:space="preserve"> Committee</w:t>
            </w:r>
          </w:p>
        </w:tc>
      </w:tr>
      <w:tr w:rsidR="0048583D" w:rsidRPr="00F644EC" w14:paraId="03DC462E" w14:textId="77777777" w:rsidTr="00485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14:paraId="7CA04B9C" w14:textId="347D09DC" w:rsidR="0048583D" w:rsidRPr="00F644EC" w:rsidRDefault="0048583D" w:rsidP="0048583D">
            <w:r w:rsidRPr="00F644EC">
              <w:t>Approval Date:</w:t>
            </w:r>
          </w:p>
        </w:tc>
        <w:tc>
          <w:tcPr>
            <w:tcW w:w="7654" w:type="dxa"/>
          </w:tcPr>
          <w:p w14:paraId="2C819FCD" w14:textId="275B71ED" w:rsidR="0048583D" w:rsidRPr="00F644EC" w:rsidRDefault="00CB08EE" w:rsidP="00485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 October 2016</w:t>
            </w:r>
          </w:p>
        </w:tc>
      </w:tr>
      <w:tr w:rsidR="0048583D" w:rsidRPr="00F644EC" w14:paraId="05D8D4DC" w14:textId="77777777" w:rsidTr="00485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14:paraId="049F347A" w14:textId="6A6AB4CA" w:rsidR="0048583D" w:rsidRPr="00F644EC" w:rsidRDefault="0048583D" w:rsidP="0048583D">
            <w:r w:rsidRPr="00F644EC">
              <w:t>Review Date:</w:t>
            </w:r>
          </w:p>
        </w:tc>
        <w:tc>
          <w:tcPr>
            <w:tcW w:w="7654" w:type="dxa"/>
          </w:tcPr>
          <w:p w14:paraId="6AACE4F7" w14:textId="7A2E5C79" w:rsidR="0048583D" w:rsidRPr="00F644EC" w:rsidRDefault="00CB08EE" w:rsidP="004858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November 2019</w:t>
            </w:r>
          </w:p>
        </w:tc>
      </w:tr>
    </w:tbl>
    <w:p w14:paraId="27C1EAC1" w14:textId="6529E4BE" w:rsidR="00F5444B" w:rsidRPr="00F5444B" w:rsidRDefault="00F5444B" w:rsidP="00F5444B"/>
    <w:p w14:paraId="794E9345" w14:textId="77777777" w:rsidR="00F5444B" w:rsidRPr="00F5444B" w:rsidRDefault="00F5444B" w:rsidP="00F5444B"/>
    <w:p w14:paraId="061EEA5F" w14:textId="720F3D6C" w:rsidR="005822FD" w:rsidRPr="00F644EC" w:rsidRDefault="005822FD" w:rsidP="0048583D">
      <w:pPr>
        <w:rPr>
          <w:b/>
          <w:sz w:val="20"/>
        </w:rPr>
      </w:pPr>
      <w:bookmarkStart w:id="0" w:name="_GoBack"/>
      <w:bookmarkEnd w:id="0"/>
    </w:p>
    <w:sectPr w:rsidR="005822FD" w:rsidRPr="00F644EC" w:rsidSect="00DC5900">
      <w:headerReference w:type="default" r:id="rId16"/>
      <w:footerReference w:type="default" r:id="rId17"/>
      <w:pgSz w:w="11906" w:h="16838" w:code="9"/>
      <w:pgMar w:top="1701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A3FEE" w14:textId="77777777" w:rsidR="0027378E" w:rsidRPr="000D4EDE" w:rsidRDefault="0027378E" w:rsidP="000D4EDE">
      <w:r>
        <w:separator/>
      </w:r>
    </w:p>
  </w:endnote>
  <w:endnote w:type="continuationSeparator" w:id="0">
    <w:p w14:paraId="4B2B74CC" w14:textId="77777777" w:rsidR="0027378E" w:rsidRPr="000D4EDE" w:rsidRDefault="0027378E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BEB2E" w14:textId="47C7C62C" w:rsidR="00FF6F40" w:rsidRPr="00371E1C" w:rsidRDefault="00371E1C" w:rsidP="00371E1C">
    <w:pPr>
      <w:pBdr>
        <w:top w:val="single" w:sz="4" w:space="1" w:color="auto"/>
      </w:pBdr>
      <w:jc w:val="right"/>
      <w:rPr>
        <w:sz w:val="20"/>
      </w:rPr>
    </w:pPr>
    <w:r w:rsidRPr="00371E1C">
      <w:rPr>
        <w:sz w:val="20"/>
      </w:rPr>
      <w:t xml:space="preserve">Page </w:t>
    </w:r>
    <w:r w:rsidRPr="00371E1C">
      <w:rPr>
        <w:sz w:val="20"/>
      </w:rPr>
      <w:fldChar w:fldCharType="begin"/>
    </w:r>
    <w:r w:rsidRPr="00371E1C">
      <w:rPr>
        <w:sz w:val="20"/>
      </w:rPr>
      <w:instrText xml:space="preserve"> PAGE   \* MERGEFORMAT </w:instrText>
    </w:r>
    <w:r w:rsidRPr="00371E1C">
      <w:rPr>
        <w:sz w:val="20"/>
      </w:rPr>
      <w:fldChar w:fldCharType="separate"/>
    </w:r>
    <w:r w:rsidR="00CB08EE">
      <w:rPr>
        <w:noProof/>
        <w:sz w:val="20"/>
      </w:rPr>
      <w:t>3</w:t>
    </w:r>
    <w:r w:rsidRPr="00371E1C">
      <w:rPr>
        <w:sz w:val="20"/>
      </w:rPr>
      <w:fldChar w:fldCharType="end"/>
    </w:r>
  </w:p>
  <w:p w14:paraId="09D4E915" w14:textId="77777777" w:rsidR="00371E1C" w:rsidRPr="00371E1C" w:rsidRDefault="00371E1C" w:rsidP="00371E1C">
    <w:pPr>
      <w:jc w:val="right"/>
      <w:rPr>
        <w:b/>
        <w:sz w:val="18"/>
      </w:rPr>
    </w:pPr>
    <w:r w:rsidRPr="00371E1C">
      <w:rPr>
        <w:b/>
        <w:sz w:val="18"/>
      </w:rPr>
      <w:t>Nillumbik Shire Council trading as Living &amp; Learning Nillumbik - Registered Training Organisation No. 3989</w:t>
    </w:r>
  </w:p>
  <w:p w14:paraId="0A9178D3" w14:textId="0A9FF351" w:rsidR="00371E1C" w:rsidRPr="00371E1C" w:rsidRDefault="00371E1C" w:rsidP="00371E1C">
    <w:pPr>
      <w:jc w:val="right"/>
      <w:rPr>
        <w:sz w:val="18"/>
      </w:rPr>
    </w:pPr>
    <w:r w:rsidRPr="00371E1C">
      <w:rPr>
        <w:sz w:val="18"/>
      </w:rPr>
      <w:t>739 Main Road Eltham 3095 - Phone: 9433 3744 - Email: living.learning@nillumbik.vic.gov.au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AED5C" w14:textId="77777777" w:rsidR="0027378E" w:rsidRPr="000D4EDE" w:rsidRDefault="0027378E" w:rsidP="000D4EDE">
      <w:r>
        <w:separator/>
      </w:r>
    </w:p>
  </w:footnote>
  <w:footnote w:type="continuationSeparator" w:id="0">
    <w:p w14:paraId="3C2BE47B" w14:textId="77777777" w:rsidR="0027378E" w:rsidRPr="000D4EDE" w:rsidRDefault="0027378E" w:rsidP="000D4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53B55" w14:textId="0276E39F" w:rsidR="00E54BCF" w:rsidRDefault="00BD7DF2" w:rsidP="00FF6F40">
    <w:pPr>
      <w:pStyle w:val="Header"/>
    </w:pPr>
    <w:r w:rsidRPr="00BD7DF2">
      <w:rPr>
        <w:noProof/>
        <w:lang w:eastAsia="en-AU"/>
      </w:rPr>
      <w:drawing>
        <wp:inline distT="0" distB="0" distL="0" distR="0" wp14:anchorId="2606F10D" wp14:editId="0B938238">
          <wp:extent cx="1918004" cy="595223"/>
          <wp:effectExtent l="0" t="0" r="6350" b="0"/>
          <wp:docPr id="2" name="Picture 2" title="Living &amp; Learning Nillumbi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LN Green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734" cy="597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3C9261" w14:textId="77777777" w:rsidR="005A23CE" w:rsidRDefault="005A23CE" w:rsidP="00FF6F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B283B31"/>
    <w:multiLevelType w:val="hybridMultilevel"/>
    <w:tmpl w:val="9C8C0D00"/>
    <w:lvl w:ilvl="0" w:tplc="833E781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646AD"/>
    <w:multiLevelType w:val="hybridMultilevel"/>
    <w:tmpl w:val="166A35AE"/>
    <w:lvl w:ilvl="0" w:tplc="D0D046C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64223"/>
    <w:multiLevelType w:val="hybridMultilevel"/>
    <w:tmpl w:val="187A8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EF003DC"/>
    <w:multiLevelType w:val="multilevel"/>
    <w:tmpl w:val="932A2FB8"/>
    <w:lvl w:ilvl="0">
      <w:start w:val="1"/>
      <w:numFmt w:val="decimal"/>
      <w:pStyle w:val="ListContinu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istContinue2"/>
      <w:lvlText w:val="%1.%2"/>
      <w:lvlJc w:val="left"/>
      <w:pPr>
        <w:tabs>
          <w:tab w:val="num" w:pos="1435"/>
        </w:tabs>
        <w:ind w:left="1435" w:hanging="715"/>
      </w:pPr>
      <w:rPr>
        <w:rFonts w:hint="default"/>
      </w:rPr>
    </w:lvl>
    <w:lvl w:ilvl="2">
      <w:start w:val="1"/>
      <w:numFmt w:val="decimal"/>
      <w:pStyle w:val="ListContinue3"/>
      <w:lvlText w:val="%1.%2.%3"/>
      <w:lvlJc w:val="left"/>
      <w:pPr>
        <w:tabs>
          <w:tab w:val="num" w:pos="2155"/>
        </w:tabs>
        <w:ind w:left="2155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30EA48B8"/>
    <w:multiLevelType w:val="multilevel"/>
    <w:tmpl w:val="700CEAE0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45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5040" w:hanging="1440"/>
      </w:pPr>
      <w:rPr>
        <w:rFonts w:hint="default"/>
      </w:rPr>
    </w:lvl>
  </w:abstractNum>
  <w:abstractNum w:abstractNumId="11">
    <w:nsid w:val="3A7F69BD"/>
    <w:multiLevelType w:val="multilevel"/>
    <w:tmpl w:val="B98CDB18"/>
    <w:styleLink w:val="ListLevel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43F148C1"/>
    <w:multiLevelType w:val="multilevel"/>
    <w:tmpl w:val="30A0F66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pStyle w:val="ListBullet4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pStyle w:val="Notes"/>
      <w:suff w:val="spac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672368D"/>
    <w:multiLevelType w:val="hybridMultilevel"/>
    <w:tmpl w:val="3D4CE758"/>
    <w:lvl w:ilvl="0" w:tplc="69FA1C2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445F4"/>
    <w:multiLevelType w:val="multilevel"/>
    <w:tmpl w:val="94B6B680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5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6">
    <w:nsid w:val="642C3DB9"/>
    <w:multiLevelType w:val="multilevel"/>
    <w:tmpl w:val="9F0AAEE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AppendixHeading"/>
      <w:suff w:val="space"/>
      <w:lvlText w:val="Appendix %6:"/>
      <w:lvlJc w:val="left"/>
      <w:pPr>
        <w:ind w:left="0" w:firstLine="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ListNumber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pStyle w:val="ListNumber2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pStyle w:val="ListNumber3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17">
    <w:nsid w:val="7658513B"/>
    <w:multiLevelType w:val="hybridMultilevel"/>
    <w:tmpl w:val="FC029C4E"/>
    <w:lvl w:ilvl="0" w:tplc="3448368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A4DA9"/>
    <w:multiLevelType w:val="hybridMultilevel"/>
    <w:tmpl w:val="B302F9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15"/>
  </w:num>
  <w:num w:numId="5">
    <w:abstractNumId w:val="1"/>
  </w:num>
  <w:num w:numId="6">
    <w:abstractNumId w:val="0"/>
  </w:num>
  <w:num w:numId="7">
    <w:abstractNumId w:val="7"/>
  </w:num>
  <w:num w:numId="8">
    <w:abstractNumId w:val="12"/>
  </w:num>
  <w:num w:numId="9">
    <w:abstractNumId w:val="5"/>
  </w:num>
  <w:num w:numId="10">
    <w:abstractNumId w:val="16"/>
  </w:num>
  <w:num w:numId="11">
    <w:abstractNumId w:val="11"/>
  </w:num>
  <w:num w:numId="12">
    <w:abstractNumId w:val="6"/>
  </w:num>
  <w:num w:numId="13">
    <w:abstractNumId w:val="17"/>
  </w:num>
  <w:num w:numId="14">
    <w:abstractNumId w:val="13"/>
  </w:num>
  <w:num w:numId="15">
    <w:abstractNumId w:val="3"/>
  </w:num>
  <w:num w:numId="16">
    <w:abstractNumId w:val="2"/>
  </w:num>
  <w:num w:numId="17">
    <w:abstractNumId w:val="11"/>
  </w:num>
  <w:num w:numId="18">
    <w:abstractNumId w:val="17"/>
  </w:num>
  <w:num w:numId="19">
    <w:abstractNumId w:val="11"/>
  </w:num>
  <w:num w:numId="20">
    <w:abstractNumId w:val="10"/>
  </w:num>
  <w:num w:numId="21">
    <w:abstractNumId w:val="4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u2jvIohIXEbsRjk46iJ7lpxFofbI39R0ORJz6evFhgJpFEQqp9E7sP64k/iQMyuDF0unPBt/wt798I852DHO7A==" w:salt="3HQhP2AkdtNuAWy9coPzig=="/>
  <w:styleLockTheme/>
  <w:styleLockQFSet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93"/>
    <w:rsid w:val="00005D98"/>
    <w:rsid w:val="00012728"/>
    <w:rsid w:val="00034A19"/>
    <w:rsid w:val="00036F9E"/>
    <w:rsid w:val="000413B3"/>
    <w:rsid w:val="000523C5"/>
    <w:rsid w:val="000628F9"/>
    <w:rsid w:val="00070DFC"/>
    <w:rsid w:val="000825C6"/>
    <w:rsid w:val="00083512"/>
    <w:rsid w:val="00086F71"/>
    <w:rsid w:val="000949AD"/>
    <w:rsid w:val="00095109"/>
    <w:rsid w:val="00096B0F"/>
    <w:rsid w:val="000A490E"/>
    <w:rsid w:val="000B63CA"/>
    <w:rsid w:val="000C1449"/>
    <w:rsid w:val="000C14D9"/>
    <w:rsid w:val="000C682C"/>
    <w:rsid w:val="000D4EDE"/>
    <w:rsid w:val="000E0757"/>
    <w:rsid w:val="000E36F0"/>
    <w:rsid w:val="00123576"/>
    <w:rsid w:val="00124B21"/>
    <w:rsid w:val="00127F78"/>
    <w:rsid w:val="001653B6"/>
    <w:rsid w:val="00165F05"/>
    <w:rsid w:val="00177F6E"/>
    <w:rsid w:val="001820D0"/>
    <w:rsid w:val="0018235E"/>
    <w:rsid w:val="001846DB"/>
    <w:rsid w:val="0019337A"/>
    <w:rsid w:val="001939D8"/>
    <w:rsid w:val="001A7F9A"/>
    <w:rsid w:val="001C5101"/>
    <w:rsid w:val="001D0AED"/>
    <w:rsid w:val="001D6D44"/>
    <w:rsid w:val="001E0F51"/>
    <w:rsid w:val="001E2D82"/>
    <w:rsid w:val="001F6E1A"/>
    <w:rsid w:val="00221B89"/>
    <w:rsid w:val="00240126"/>
    <w:rsid w:val="0025034C"/>
    <w:rsid w:val="00252E6A"/>
    <w:rsid w:val="00262FE5"/>
    <w:rsid w:val="0026422C"/>
    <w:rsid w:val="002661A6"/>
    <w:rsid w:val="00266C23"/>
    <w:rsid w:val="00266E2F"/>
    <w:rsid w:val="0027378E"/>
    <w:rsid w:val="00286EAD"/>
    <w:rsid w:val="0029389B"/>
    <w:rsid w:val="002A6B81"/>
    <w:rsid w:val="002A7D14"/>
    <w:rsid w:val="002B4550"/>
    <w:rsid w:val="002B6303"/>
    <w:rsid w:val="002B7504"/>
    <w:rsid w:val="002C0D97"/>
    <w:rsid w:val="002C7065"/>
    <w:rsid w:val="002C7F4A"/>
    <w:rsid w:val="002D051D"/>
    <w:rsid w:val="002D21EA"/>
    <w:rsid w:val="002D2486"/>
    <w:rsid w:val="002D2804"/>
    <w:rsid w:val="002E1296"/>
    <w:rsid w:val="002E65C9"/>
    <w:rsid w:val="002E6FF4"/>
    <w:rsid w:val="002F0C2C"/>
    <w:rsid w:val="00303D18"/>
    <w:rsid w:val="00304932"/>
    <w:rsid w:val="00307ADD"/>
    <w:rsid w:val="003130CA"/>
    <w:rsid w:val="00316A25"/>
    <w:rsid w:val="00361DEE"/>
    <w:rsid w:val="003706A1"/>
    <w:rsid w:val="00371E1C"/>
    <w:rsid w:val="00371F54"/>
    <w:rsid w:val="00383A95"/>
    <w:rsid w:val="003A2B1A"/>
    <w:rsid w:val="003A3021"/>
    <w:rsid w:val="003B6E16"/>
    <w:rsid w:val="003D27CB"/>
    <w:rsid w:val="003D467D"/>
    <w:rsid w:val="003D7459"/>
    <w:rsid w:val="003E6BF6"/>
    <w:rsid w:val="003F0F0D"/>
    <w:rsid w:val="0040173E"/>
    <w:rsid w:val="00402B20"/>
    <w:rsid w:val="00415A2E"/>
    <w:rsid w:val="00433A0B"/>
    <w:rsid w:val="00435324"/>
    <w:rsid w:val="00436FB3"/>
    <w:rsid w:val="0046260C"/>
    <w:rsid w:val="00463FA8"/>
    <w:rsid w:val="0048583D"/>
    <w:rsid w:val="00486BC5"/>
    <w:rsid w:val="00494335"/>
    <w:rsid w:val="00495760"/>
    <w:rsid w:val="004A038B"/>
    <w:rsid w:val="004B2D35"/>
    <w:rsid w:val="004B584E"/>
    <w:rsid w:val="004C1106"/>
    <w:rsid w:val="004C2E78"/>
    <w:rsid w:val="004C455E"/>
    <w:rsid w:val="004C7158"/>
    <w:rsid w:val="004E2269"/>
    <w:rsid w:val="004F0EEB"/>
    <w:rsid w:val="00503A51"/>
    <w:rsid w:val="00512309"/>
    <w:rsid w:val="00527AA8"/>
    <w:rsid w:val="00544869"/>
    <w:rsid w:val="0054526E"/>
    <w:rsid w:val="005476B5"/>
    <w:rsid w:val="005478DE"/>
    <w:rsid w:val="00552E32"/>
    <w:rsid w:val="005656C5"/>
    <w:rsid w:val="005822FD"/>
    <w:rsid w:val="0059287E"/>
    <w:rsid w:val="005A23CE"/>
    <w:rsid w:val="005A3F63"/>
    <w:rsid w:val="005B073E"/>
    <w:rsid w:val="005B227F"/>
    <w:rsid w:val="005B2324"/>
    <w:rsid w:val="005B2E76"/>
    <w:rsid w:val="005B7801"/>
    <w:rsid w:val="005D5FAE"/>
    <w:rsid w:val="005E074A"/>
    <w:rsid w:val="005E2611"/>
    <w:rsid w:val="005E62E8"/>
    <w:rsid w:val="005F29B7"/>
    <w:rsid w:val="0060335A"/>
    <w:rsid w:val="00606EB5"/>
    <w:rsid w:val="00617FDA"/>
    <w:rsid w:val="006320E7"/>
    <w:rsid w:val="006326B8"/>
    <w:rsid w:val="00634E4C"/>
    <w:rsid w:val="00636B8B"/>
    <w:rsid w:val="006427FE"/>
    <w:rsid w:val="00642C90"/>
    <w:rsid w:val="0064361C"/>
    <w:rsid w:val="00646BC4"/>
    <w:rsid w:val="006506C1"/>
    <w:rsid w:val="00664B41"/>
    <w:rsid w:val="0066674D"/>
    <w:rsid w:val="00666A78"/>
    <w:rsid w:val="0069375D"/>
    <w:rsid w:val="0069407C"/>
    <w:rsid w:val="0069574E"/>
    <w:rsid w:val="006965A0"/>
    <w:rsid w:val="006A01B1"/>
    <w:rsid w:val="006A3A02"/>
    <w:rsid w:val="006D1CA8"/>
    <w:rsid w:val="006D2006"/>
    <w:rsid w:val="006E00D8"/>
    <w:rsid w:val="006F145A"/>
    <w:rsid w:val="006F27CB"/>
    <w:rsid w:val="006F4DC4"/>
    <w:rsid w:val="006F5865"/>
    <w:rsid w:val="0070434E"/>
    <w:rsid w:val="00711C49"/>
    <w:rsid w:val="007370EC"/>
    <w:rsid w:val="0074050E"/>
    <w:rsid w:val="00753D94"/>
    <w:rsid w:val="00755163"/>
    <w:rsid w:val="00756AAB"/>
    <w:rsid w:val="00757F63"/>
    <w:rsid w:val="007645AE"/>
    <w:rsid w:val="00764992"/>
    <w:rsid w:val="00772F2C"/>
    <w:rsid w:val="00773673"/>
    <w:rsid w:val="00775AA0"/>
    <w:rsid w:val="007A0FA2"/>
    <w:rsid w:val="007A43AB"/>
    <w:rsid w:val="007A6E88"/>
    <w:rsid w:val="007B5ECC"/>
    <w:rsid w:val="007C08B1"/>
    <w:rsid w:val="007C2CC2"/>
    <w:rsid w:val="007C39E4"/>
    <w:rsid w:val="007C5F64"/>
    <w:rsid w:val="007C79AA"/>
    <w:rsid w:val="007C7C61"/>
    <w:rsid w:val="007D1137"/>
    <w:rsid w:val="007D666A"/>
    <w:rsid w:val="007E525D"/>
    <w:rsid w:val="007F2954"/>
    <w:rsid w:val="00814A81"/>
    <w:rsid w:val="00824E28"/>
    <w:rsid w:val="008335A8"/>
    <w:rsid w:val="00837FD7"/>
    <w:rsid w:val="008408DF"/>
    <w:rsid w:val="00845843"/>
    <w:rsid w:val="008637EC"/>
    <w:rsid w:val="00870BC6"/>
    <w:rsid w:val="00885A14"/>
    <w:rsid w:val="0088689B"/>
    <w:rsid w:val="0089031E"/>
    <w:rsid w:val="00890FA0"/>
    <w:rsid w:val="00892D7F"/>
    <w:rsid w:val="00897DDE"/>
    <w:rsid w:val="008A214D"/>
    <w:rsid w:val="008A72D2"/>
    <w:rsid w:val="008B3745"/>
    <w:rsid w:val="008B6868"/>
    <w:rsid w:val="008C2AAF"/>
    <w:rsid w:val="008C6A43"/>
    <w:rsid w:val="008D080C"/>
    <w:rsid w:val="008F66EC"/>
    <w:rsid w:val="008F6715"/>
    <w:rsid w:val="00906799"/>
    <w:rsid w:val="00924152"/>
    <w:rsid w:val="00927434"/>
    <w:rsid w:val="00931354"/>
    <w:rsid w:val="0093194D"/>
    <w:rsid w:val="00934C3F"/>
    <w:rsid w:val="009417AE"/>
    <w:rsid w:val="00952D4C"/>
    <w:rsid w:val="0097783F"/>
    <w:rsid w:val="009979F4"/>
    <w:rsid w:val="009A45B2"/>
    <w:rsid w:val="009B5289"/>
    <w:rsid w:val="009D2DDD"/>
    <w:rsid w:val="009D78B4"/>
    <w:rsid w:val="009F22EE"/>
    <w:rsid w:val="009F2ABE"/>
    <w:rsid w:val="009F4C39"/>
    <w:rsid w:val="00A023AE"/>
    <w:rsid w:val="00A24D11"/>
    <w:rsid w:val="00A33802"/>
    <w:rsid w:val="00A37E51"/>
    <w:rsid w:val="00A41A77"/>
    <w:rsid w:val="00A62D31"/>
    <w:rsid w:val="00A660C4"/>
    <w:rsid w:val="00A72DAC"/>
    <w:rsid w:val="00A91E37"/>
    <w:rsid w:val="00A92288"/>
    <w:rsid w:val="00A97E3B"/>
    <w:rsid w:val="00A97E5A"/>
    <w:rsid w:val="00AA24BD"/>
    <w:rsid w:val="00AB039E"/>
    <w:rsid w:val="00AB0CBE"/>
    <w:rsid w:val="00AB2933"/>
    <w:rsid w:val="00AC286B"/>
    <w:rsid w:val="00AD4D10"/>
    <w:rsid w:val="00AE52E0"/>
    <w:rsid w:val="00AF129F"/>
    <w:rsid w:val="00AF48FC"/>
    <w:rsid w:val="00AF5893"/>
    <w:rsid w:val="00B0348A"/>
    <w:rsid w:val="00B12DC9"/>
    <w:rsid w:val="00B13F84"/>
    <w:rsid w:val="00B15ABA"/>
    <w:rsid w:val="00B15B74"/>
    <w:rsid w:val="00B23077"/>
    <w:rsid w:val="00B3782C"/>
    <w:rsid w:val="00B41D8E"/>
    <w:rsid w:val="00B42B2F"/>
    <w:rsid w:val="00B472E1"/>
    <w:rsid w:val="00B55132"/>
    <w:rsid w:val="00B6789D"/>
    <w:rsid w:val="00B71170"/>
    <w:rsid w:val="00B81740"/>
    <w:rsid w:val="00B81CA7"/>
    <w:rsid w:val="00B85D7B"/>
    <w:rsid w:val="00B900EA"/>
    <w:rsid w:val="00B91069"/>
    <w:rsid w:val="00BC2832"/>
    <w:rsid w:val="00BD06AB"/>
    <w:rsid w:val="00BD74A8"/>
    <w:rsid w:val="00BD7DF2"/>
    <w:rsid w:val="00BF77BA"/>
    <w:rsid w:val="00C00FDA"/>
    <w:rsid w:val="00C014E0"/>
    <w:rsid w:val="00C04E4B"/>
    <w:rsid w:val="00C1313E"/>
    <w:rsid w:val="00C13A55"/>
    <w:rsid w:val="00C235A8"/>
    <w:rsid w:val="00C3071A"/>
    <w:rsid w:val="00C32787"/>
    <w:rsid w:val="00C52001"/>
    <w:rsid w:val="00C62BF5"/>
    <w:rsid w:val="00C636DA"/>
    <w:rsid w:val="00C72271"/>
    <w:rsid w:val="00C76BD7"/>
    <w:rsid w:val="00C8274D"/>
    <w:rsid w:val="00C91AD9"/>
    <w:rsid w:val="00CA1EAA"/>
    <w:rsid w:val="00CA6FF9"/>
    <w:rsid w:val="00CB08EE"/>
    <w:rsid w:val="00CB306B"/>
    <w:rsid w:val="00CB4238"/>
    <w:rsid w:val="00CC176E"/>
    <w:rsid w:val="00CC34EB"/>
    <w:rsid w:val="00CC3868"/>
    <w:rsid w:val="00CC4A14"/>
    <w:rsid w:val="00CC66EA"/>
    <w:rsid w:val="00CD2D96"/>
    <w:rsid w:val="00CD7911"/>
    <w:rsid w:val="00CE2E48"/>
    <w:rsid w:val="00CF3D2A"/>
    <w:rsid w:val="00D021F7"/>
    <w:rsid w:val="00D078A2"/>
    <w:rsid w:val="00D2005C"/>
    <w:rsid w:val="00D20D27"/>
    <w:rsid w:val="00D45658"/>
    <w:rsid w:val="00D461C2"/>
    <w:rsid w:val="00D61AAE"/>
    <w:rsid w:val="00D637B7"/>
    <w:rsid w:val="00D84E12"/>
    <w:rsid w:val="00DA4C48"/>
    <w:rsid w:val="00DA727D"/>
    <w:rsid w:val="00DB53A7"/>
    <w:rsid w:val="00DC5900"/>
    <w:rsid w:val="00DD170F"/>
    <w:rsid w:val="00DE0A8A"/>
    <w:rsid w:val="00DF6E54"/>
    <w:rsid w:val="00E01BFE"/>
    <w:rsid w:val="00E04228"/>
    <w:rsid w:val="00E04457"/>
    <w:rsid w:val="00E04BBC"/>
    <w:rsid w:val="00E139F9"/>
    <w:rsid w:val="00E148E4"/>
    <w:rsid w:val="00E159D7"/>
    <w:rsid w:val="00E21653"/>
    <w:rsid w:val="00E2414E"/>
    <w:rsid w:val="00E405DE"/>
    <w:rsid w:val="00E54BCF"/>
    <w:rsid w:val="00E61C99"/>
    <w:rsid w:val="00E7257D"/>
    <w:rsid w:val="00E77861"/>
    <w:rsid w:val="00E84A6B"/>
    <w:rsid w:val="00E92385"/>
    <w:rsid w:val="00E96DEA"/>
    <w:rsid w:val="00EA1FBB"/>
    <w:rsid w:val="00EA3961"/>
    <w:rsid w:val="00EA48AE"/>
    <w:rsid w:val="00EC359E"/>
    <w:rsid w:val="00EC457D"/>
    <w:rsid w:val="00EF2A15"/>
    <w:rsid w:val="00EF5BFD"/>
    <w:rsid w:val="00F00EA1"/>
    <w:rsid w:val="00F320FC"/>
    <w:rsid w:val="00F34D63"/>
    <w:rsid w:val="00F34DCA"/>
    <w:rsid w:val="00F42EC2"/>
    <w:rsid w:val="00F5444B"/>
    <w:rsid w:val="00F644EC"/>
    <w:rsid w:val="00F73B4F"/>
    <w:rsid w:val="00F76C98"/>
    <w:rsid w:val="00F80750"/>
    <w:rsid w:val="00F85F59"/>
    <w:rsid w:val="00F86DD4"/>
    <w:rsid w:val="00F92147"/>
    <w:rsid w:val="00FB12C9"/>
    <w:rsid w:val="00FB4CF2"/>
    <w:rsid w:val="00FB7C17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B984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uiPriority="16" w:qFormat="1"/>
    <w:lsdException w:name="List Number" w:semiHidden="0" w:uiPriority="16" w:unhideWhenUsed="0" w:qFormat="1"/>
    <w:lsdException w:name="List Bullet 2" w:semiHidden="0" w:uiPriority="16" w:qFormat="1"/>
    <w:lsdException w:name="List Bullet 3" w:semiHidden="0" w:uiPriority="16" w:qFormat="1"/>
    <w:lsdException w:name="List Bullet 4" w:semiHidden="0" w:uiPriority="16" w:qFormat="1"/>
    <w:lsdException w:name="List Number 2" w:semiHidden="0" w:uiPriority="16" w:qFormat="1"/>
    <w:lsdException w:name="List Number 3" w:semiHidden="0" w:uiPriority="16" w:qFormat="1"/>
    <w:lsdException w:name="List Number 4" w:semiHidden="0" w:qFormat="1"/>
    <w:lsdException w:name="Title" w:semiHidden="0" w:uiPriority="18" w:unhideWhenUsed="0" w:qFormat="1"/>
    <w:lsdException w:name="Default Paragraph Font" w:locked="0" w:uiPriority="1"/>
    <w:lsdException w:name="List Continue" w:qFormat="1"/>
    <w:lsdException w:name="List Continue 2" w:qFormat="1"/>
    <w:lsdException w:name="List Continue 3" w:qFormat="1"/>
    <w:lsdException w:name="Subtitle" w:uiPriority="11" w:qFormat="1"/>
    <w:lsdException w:name="Hyperlink" w:locked="0"/>
    <w:lsdException w:name="FollowedHyperlink" w:locked="0" w:semiHidden="0"/>
    <w:lsdException w:name="Strong" w:semiHidden="0" w:uiPriority="17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E405DE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405DE"/>
    <w:pPr>
      <w:keepNext/>
      <w:keepLines/>
      <w:numPr>
        <w:numId w:val="10"/>
      </w:numPr>
      <w:spacing w:before="24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05DE"/>
    <w:pPr>
      <w:keepNext/>
      <w:keepLines/>
      <w:numPr>
        <w:ilvl w:val="1"/>
        <w:numId w:val="10"/>
      </w:numPr>
      <w:spacing w:before="24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05DE"/>
    <w:pPr>
      <w:keepNext/>
      <w:keepLines/>
      <w:numPr>
        <w:ilvl w:val="2"/>
        <w:numId w:val="10"/>
      </w:numPr>
      <w:spacing w:before="24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405DE"/>
    <w:pPr>
      <w:keepNext/>
      <w:keepLines/>
      <w:numPr>
        <w:ilvl w:val="3"/>
        <w:numId w:val="10"/>
      </w:numPr>
      <w:spacing w:before="24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E405DE"/>
    <w:pPr>
      <w:keepNext/>
      <w:keepLines/>
      <w:numPr>
        <w:ilvl w:val="4"/>
        <w:numId w:val="10"/>
      </w:numPr>
      <w:spacing w:before="240"/>
      <w:outlineLvl w:val="4"/>
    </w:pPr>
    <w:rPr>
      <w:rFonts w:asciiTheme="majorHAnsi" w:eastAsiaTheme="majorEastAsia" w:hAnsiTheme="majorHAnsi" w:cstheme="majorBidi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5DE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05DE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05DE"/>
    <w:rPr>
      <w:rFonts w:asciiTheme="majorHAnsi" w:eastAsiaTheme="majorEastAsia" w:hAnsiTheme="majorHAnsi" w:cstheme="majorBidi"/>
      <w:b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E405DE"/>
    <w:rPr>
      <w:rFonts w:asciiTheme="majorHAnsi" w:eastAsiaTheme="majorEastAsia" w:hAnsiTheme="majorHAnsi" w:cstheme="majorBidi"/>
      <w:b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8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10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10"/>
      </w:numPr>
    </w:pPr>
  </w:style>
  <w:style w:type="numbering" w:customStyle="1" w:styleId="Lists">
    <w:name w:val="Lists"/>
    <w:uiPriority w:val="99"/>
    <w:rsid w:val="00CB4238"/>
    <w:pPr>
      <w:numPr>
        <w:numId w:val="3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10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rsid w:val="004A038B"/>
    <w:pPr>
      <w:tabs>
        <w:tab w:val="left" w:pos="440"/>
        <w:tab w:val="right" w:leader="dot" w:pos="9639"/>
      </w:tabs>
      <w:spacing w:before="57" w:after="57"/>
      <w:contextualSpacing/>
    </w:pPr>
    <w:rPr>
      <w:b/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8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8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C91AD9"/>
    <w:rPr>
      <w:noProof w:val="0"/>
      <w:color w:val="0563C1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C91AD9"/>
    <w:rPr>
      <w:noProof w:val="0"/>
      <w:color w:val="954F72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E405DE"/>
    <w:rPr>
      <w:rFonts w:asciiTheme="majorHAnsi" w:eastAsiaTheme="majorEastAsia" w:hAnsiTheme="majorHAnsi" w:cstheme="majorBidi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7"/>
    <w:qFormat/>
    <w:rsid w:val="00304932"/>
    <w:pPr>
      <w:numPr>
        <w:numId w:val="12"/>
      </w:numPr>
    </w:pPr>
  </w:style>
  <w:style w:type="paragraph" w:styleId="ListContinue2">
    <w:name w:val="List Continue 2"/>
    <w:basedOn w:val="Normal"/>
    <w:uiPriority w:val="17"/>
    <w:qFormat/>
    <w:rsid w:val="00304932"/>
    <w:pPr>
      <w:numPr>
        <w:ilvl w:val="1"/>
        <w:numId w:val="12"/>
      </w:numPr>
    </w:pPr>
  </w:style>
  <w:style w:type="paragraph" w:styleId="ListContinue3">
    <w:name w:val="List Continue 3"/>
    <w:basedOn w:val="Normal"/>
    <w:uiPriority w:val="17"/>
    <w:qFormat/>
    <w:rsid w:val="00304932"/>
    <w:pPr>
      <w:numPr>
        <w:ilvl w:val="2"/>
        <w:numId w:val="12"/>
      </w:numPr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16"/>
    <w:semiHidden/>
    <w:locked/>
    <w:rsid w:val="00F80750"/>
    <w:pPr>
      <w:numPr>
        <w:numId w:val="6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E405DE"/>
    <w:pPr>
      <w:tabs>
        <w:tab w:val="left" w:pos="635"/>
        <w:tab w:val="left" w:pos="1140"/>
        <w:tab w:val="right" w:leader="dot" w:pos="9639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E405DE"/>
    <w:pPr>
      <w:tabs>
        <w:tab w:val="left" w:pos="1644"/>
        <w:tab w:val="left" w:pos="2030"/>
        <w:tab w:val="right" w:leader="dot" w:pos="9639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8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7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9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  <w:style w:type="numbering" w:customStyle="1" w:styleId="ListLevel">
    <w:name w:val="List Level"/>
    <w:uiPriority w:val="99"/>
    <w:rsid w:val="00304932"/>
    <w:pPr>
      <w:numPr>
        <w:numId w:val="11"/>
      </w:numPr>
    </w:pPr>
  </w:style>
  <w:style w:type="paragraph" w:styleId="Revision">
    <w:name w:val="Revision"/>
    <w:hidden/>
    <w:uiPriority w:val="99"/>
    <w:semiHidden/>
    <w:rsid w:val="00402B20"/>
    <w:pPr>
      <w:spacing w:before="0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uiPriority="16" w:qFormat="1"/>
    <w:lsdException w:name="List Number" w:semiHidden="0" w:uiPriority="16" w:unhideWhenUsed="0" w:qFormat="1"/>
    <w:lsdException w:name="List Bullet 2" w:semiHidden="0" w:uiPriority="16" w:qFormat="1"/>
    <w:lsdException w:name="List Bullet 3" w:semiHidden="0" w:uiPriority="16" w:qFormat="1"/>
    <w:lsdException w:name="List Bullet 4" w:semiHidden="0" w:uiPriority="16" w:qFormat="1"/>
    <w:lsdException w:name="List Number 2" w:semiHidden="0" w:uiPriority="16" w:qFormat="1"/>
    <w:lsdException w:name="List Number 3" w:semiHidden="0" w:uiPriority="16" w:qFormat="1"/>
    <w:lsdException w:name="List Number 4" w:semiHidden="0" w:qFormat="1"/>
    <w:lsdException w:name="Title" w:semiHidden="0" w:uiPriority="18" w:unhideWhenUsed="0" w:qFormat="1"/>
    <w:lsdException w:name="Default Paragraph Font" w:locked="0" w:uiPriority="1"/>
    <w:lsdException w:name="List Continue" w:qFormat="1"/>
    <w:lsdException w:name="List Continue 2" w:qFormat="1"/>
    <w:lsdException w:name="List Continue 3" w:qFormat="1"/>
    <w:lsdException w:name="Subtitle" w:uiPriority="11" w:qFormat="1"/>
    <w:lsdException w:name="Hyperlink" w:locked="0"/>
    <w:lsdException w:name="FollowedHyperlink" w:locked="0" w:semiHidden="0"/>
    <w:lsdException w:name="Strong" w:semiHidden="0" w:uiPriority="17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E405DE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405DE"/>
    <w:pPr>
      <w:keepNext/>
      <w:keepLines/>
      <w:numPr>
        <w:numId w:val="10"/>
      </w:numPr>
      <w:spacing w:before="24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05DE"/>
    <w:pPr>
      <w:keepNext/>
      <w:keepLines/>
      <w:numPr>
        <w:ilvl w:val="1"/>
        <w:numId w:val="10"/>
      </w:numPr>
      <w:spacing w:before="24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05DE"/>
    <w:pPr>
      <w:keepNext/>
      <w:keepLines/>
      <w:numPr>
        <w:ilvl w:val="2"/>
        <w:numId w:val="10"/>
      </w:numPr>
      <w:spacing w:before="24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405DE"/>
    <w:pPr>
      <w:keepNext/>
      <w:keepLines/>
      <w:numPr>
        <w:ilvl w:val="3"/>
        <w:numId w:val="10"/>
      </w:numPr>
      <w:spacing w:before="24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E405DE"/>
    <w:pPr>
      <w:keepNext/>
      <w:keepLines/>
      <w:numPr>
        <w:ilvl w:val="4"/>
        <w:numId w:val="10"/>
      </w:numPr>
      <w:spacing w:before="240"/>
      <w:outlineLvl w:val="4"/>
    </w:pPr>
    <w:rPr>
      <w:rFonts w:asciiTheme="majorHAnsi" w:eastAsiaTheme="majorEastAsia" w:hAnsiTheme="majorHAnsi" w:cstheme="majorBidi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5DE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05DE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05DE"/>
    <w:rPr>
      <w:rFonts w:asciiTheme="majorHAnsi" w:eastAsiaTheme="majorEastAsia" w:hAnsiTheme="majorHAnsi" w:cstheme="majorBidi"/>
      <w:b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E405DE"/>
    <w:rPr>
      <w:rFonts w:asciiTheme="majorHAnsi" w:eastAsiaTheme="majorEastAsia" w:hAnsiTheme="majorHAnsi" w:cstheme="majorBidi"/>
      <w:b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8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10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10"/>
      </w:numPr>
    </w:pPr>
  </w:style>
  <w:style w:type="numbering" w:customStyle="1" w:styleId="Lists">
    <w:name w:val="Lists"/>
    <w:uiPriority w:val="99"/>
    <w:rsid w:val="00CB4238"/>
    <w:pPr>
      <w:numPr>
        <w:numId w:val="3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10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rsid w:val="004A038B"/>
    <w:pPr>
      <w:tabs>
        <w:tab w:val="left" w:pos="440"/>
        <w:tab w:val="right" w:leader="dot" w:pos="9639"/>
      </w:tabs>
      <w:spacing w:before="57" w:after="57"/>
      <w:contextualSpacing/>
    </w:pPr>
    <w:rPr>
      <w:b/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8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8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C91AD9"/>
    <w:rPr>
      <w:noProof w:val="0"/>
      <w:color w:val="0563C1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C91AD9"/>
    <w:rPr>
      <w:noProof w:val="0"/>
      <w:color w:val="954F72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E405DE"/>
    <w:rPr>
      <w:rFonts w:asciiTheme="majorHAnsi" w:eastAsiaTheme="majorEastAsia" w:hAnsiTheme="majorHAnsi" w:cstheme="majorBidi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7"/>
    <w:qFormat/>
    <w:rsid w:val="00304932"/>
    <w:pPr>
      <w:numPr>
        <w:numId w:val="12"/>
      </w:numPr>
    </w:pPr>
  </w:style>
  <w:style w:type="paragraph" w:styleId="ListContinue2">
    <w:name w:val="List Continue 2"/>
    <w:basedOn w:val="Normal"/>
    <w:uiPriority w:val="17"/>
    <w:qFormat/>
    <w:rsid w:val="00304932"/>
    <w:pPr>
      <w:numPr>
        <w:ilvl w:val="1"/>
        <w:numId w:val="12"/>
      </w:numPr>
    </w:pPr>
  </w:style>
  <w:style w:type="paragraph" w:styleId="ListContinue3">
    <w:name w:val="List Continue 3"/>
    <w:basedOn w:val="Normal"/>
    <w:uiPriority w:val="17"/>
    <w:qFormat/>
    <w:rsid w:val="00304932"/>
    <w:pPr>
      <w:numPr>
        <w:ilvl w:val="2"/>
        <w:numId w:val="12"/>
      </w:numPr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16"/>
    <w:semiHidden/>
    <w:locked/>
    <w:rsid w:val="00F80750"/>
    <w:pPr>
      <w:numPr>
        <w:numId w:val="6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E405DE"/>
    <w:pPr>
      <w:tabs>
        <w:tab w:val="left" w:pos="635"/>
        <w:tab w:val="left" w:pos="1140"/>
        <w:tab w:val="right" w:leader="dot" w:pos="9639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E405DE"/>
    <w:pPr>
      <w:tabs>
        <w:tab w:val="left" w:pos="1644"/>
        <w:tab w:val="left" w:pos="2030"/>
        <w:tab w:val="right" w:leader="dot" w:pos="9639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8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7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9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  <w:style w:type="numbering" w:customStyle="1" w:styleId="ListLevel">
    <w:name w:val="List Level"/>
    <w:uiPriority w:val="99"/>
    <w:rsid w:val="00304932"/>
    <w:pPr>
      <w:numPr>
        <w:numId w:val="11"/>
      </w:numPr>
    </w:pPr>
  </w:style>
  <w:style w:type="paragraph" w:styleId="Revision">
    <w:name w:val="Revision"/>
    <w:hidden/>
    <w:uiPriority w:val="99"/>
    <w:semiHidden/>
    <w:rsid w:val="00402B20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\Accessibility.dotm" TargetMode="External"/></Relationships>
</file>

<file path=word/theme/theme1.xml><?xml version="1.0" encoding="utf-8"?>
<a:theme xmlns:a="http://schemas.openxmlformats.org/drawingml/2006/main" name="Office Theme">
  <a:themeElements>
    <a:clrScheme name="Nillumbik SC">
      <a:dk1>
        <a:sysClr val="windowText" lastClr="000000"/>
      </a:dk1>
      <a:lt1>
        <a:sysClr val="window" lastClr="FFFFFF"/>
      </a:lt1>
      <a:dk2>
        <a:srgbClr val="00456B"/>
      </a:dk2>
      <a:lt2>
        <a:srgbClr val="E2E9ED"/>
      </a:lt2>
      <a:accent1>
        <a:srgbClr val="00456B"/>
      </a:accent1>
      <a:accent2>
        <a:srgbClr val="E58E1A"/>
      </a:accent2>
      <a:accent3>
        <a:srgbClr val="CDC3BD"/>
      </a:accent3>
      <a:accent4>
        <a:srgbClr val="B4786C"/>
      </a:accent4>
      <a:accent5>
        <a:srgbClr val="6E90A6"/>
      </a:accent5>
      <a:accent6>
        <a:srgbClr val="ADB6A8"/>
      </a:accent6>
      <a:hlink>
        <a:srgbClr val="E58E1A"/>
      </a:hlink>
      <a:folHlink>
        <a:srgbClr val="00456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61ae508c6694d3eabd5c4bf0ac5e8e6 xmlns="26862788-80d8-4ba8-b7eb-4533621a9594">
      <Terms xmlns="http://schemas.microsoft.com/office/infopath/2007/PartnerControls"/>
    </a61ae508c6694d3eabd5c4bf0ac5e8e6>
    <TaxCatchAll xmlns="26862788-80d8-4ba8-b7eb-4533621a9594">
      <Value>439</Value>
      <Value>1016</Value>
      <Value>114</Value>
      <Value>772</Value>
      <Value>385</Value>
    </TaxCatchAll>
    <ie805ea53a354a4bb1e5c081d8fc6b50 xmlns="26862788-80d8-4ba8-b7eb-4533621a9594">
      <Terms xmlns="http://schemas.microsoft.com/office/infopath/2007/PartnerControls">
        <TermInfo xmlns="http://schemas.microsoft.com/office/infopath/2007/PartnerControls">
          <TermName>2016</TermName>
          <TermId>c5ef71e0-9658-4957-b864-5a2f49229c20</TermId>
        </TermInfo>
      </Terms>
    </ie805ea53a354a4bb1e5c081d8fc6b50>
    <_dlc_DocId xmlns="26862788-80d8-4ba8-b7eb-4533621a9594">NBIK-450-29</_dlc_DocId>
    <_dlc_DocIdUrl xmlns="26862788-80d8-4ba8-b7eb-4533621a9594">
      <Url>http://sonic/policies/_layouts/DocIdRedir.aspx?ID=NBIK-450-29</Url>
      <Description>NBIK-450-29</Description>
    </_dlc_DocIdUrl>
    <ne7cbe2a140246beb74eeafa627c8377 xmlns="094ddc99-cd1b-465c-9a01-e266754d4fdf">
      <Terms xmlns="http://schemas.microsoft.com/office/infopath/2007/PartnerControls">
        <TermInfo xmlns="http://schemas.microsoft.com/office/infopath/2007/PartnerControls">
          <TermName>Council-wide Policy</TermName>
          <TermId>b38fb276-d85c-4d80-8201-5a557ac5240b</TermId>
        </TermInfo>
      </Terms>
    </ne7cbe2a140246beb74eeafa627c8377>
    <c759bfb44ccb4db0b546fbf512c01d9b xmlns="26862788-80d8-4ba8-b7eb-4533621a9594">
      <Terms xmlns="http://schemas.microsoft.com/office/infopath/2007/PartnerControls">
        <TermInfo xmlns="http://schemas.microsoft.com/office/infopath/2007/PartnerControls">
          <TermName>Living and Learning</TermName>
          <TermId>c4b7ca4c-4ba7-47e9-a67d-1769ca6c4bb8</TermId>
        </TermInfo>
      </Terms>
    </c759bfb44ccb4db0b546fbf512c01d9b>
    <nb83ad0d8b6542a0953aad1a19640a7a xmlns="26862788-80d8-4ba8-b7eb-4533621a95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</TermName>
          <TermId xmlns="http://schemas.microsoft.com/office/infopath/2007/PartnerControls">e90516d2-656a-418a-8f89-3a00a854a88f</TermId>
        </TermInfo>
      </Terms>
    </nb83ad0d8b6542a0953aad1a19640a7a>
  </documentManagement>
</p:properties>
</file>

<file path=customXml/item4.xml><?xml version="1.0" encoding="utf-8"?>
<?mso-contentType ?>
<SharedContentType xmlns="Microsoft.SharePoint.Taxonomy.ContentTypeSync" SourceId="9e4672c0-7a1b-4167-8664-1f3b422d4b4e" ContentTypeId="0x0101000427F62DB85EA749944C48D2326AB04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SC Document" ma:contentTypeID="0x0101000427F62DB85EA749944C48D2326AB04100DD579218AE42C24787BB617687946BE6" ma:contentTypeVersion="67" ma:contentTypeDescription="" ma:contentTypeScope="" ma:versionID="f77409369a2417f3a778f714751d3e91">
  <xsd:schema xmlns:xsd="http://www.w3.org/2001/XMLSchema" xmlns:xs="http://www.w3.org/2001/XMLSchema" xmlns:p="http://schemas.microsoft.com/office/2006/metadata/properties" xmlns:ns2="26862788-80d8-4ba8-b7eb-4533621a9594" xmlns:ns3="094ddc99-cd1b-465c-9a01-e266754d4fdf" targetNamespace="http://schemas.microsoft.com/office/2006/metadata/properties" ma:root="true" ma:fieldsID="a1fdefbf7d87a9bc0383e9d36a84a697" ns2:_="" ns3:_="">
    <xsd:import namespace="26862788-80d8-4ba8-b7eb-4533621a9594"/>
    <xsd:import namespace="094ddc99-cd1b-465c-9a01-e266754d4fdf"/>
    <xsd:element name="properties">
      <xsd:complexType>
        <xsd:sequence>
          <xsd:element name="documentManagement">
            <xsd:complexType>
              <xsd:all>
                <xsd:element ref="ns2:a61ae508c6694d3eabd5c4bf0ac5e8e6" minOccurs="0"/>
                <xsd:element ref="ns2:TaxCatchAll" minOccurs="0"/>
                <xsd:element ref="ns2:TaxCatchAllLabel" minOccurs="0"/>
                <xsd:element ref="ns2:ie805ea53a354a4bb1e5c081d8fc6b50" minOccurs="0"/>
                <xsd:element ref="ns2:nb83ad0d8b6542a0953aad1a19640a7a" minOccurs="0"/>
                <xsd:element ref="ns2:_dlc_DocId" minOccurs="0"/>
                <xsd:element ref="ns2:_dlc_DocIdUrl" minOccurs="0"/>
                <xsd:element ref="ns2:_dlc_DocIdPersistId" minOccurs="0"/>
                <xsd:element ref="ns2:c759bfb44ccb4db0b546fbf512c01d9b" minOccurs="0"/>
                <xsd:element ref="ns3:ne7cbe2a140246beb74eeafa627c837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62788-80d8-4ba8-b7eb-4533621a9594" elementFormDefault="qualified">
    <xsd:import namespace="http://schemas.microsoft.com/office/2006/documentManagement/types"/>
    <xsd:import namespace="http://schemas.microsoft.com/office/infopath/2007/PartnerControls"/>
    <xsd:element name="a61ae508c6694d3eabd5c4bf0ac5e8e6" ma:index="8" nillable="true" ma:taxonomy="true" ma:internalName="a61ae508c6694d3eabd5c4bf0ac5e8e6" ma:taxonomyFieldName="Month" ma:displayName="Month" ma:default="" ma:fieldId="{a61ae508-c669-4d3e-abd5-c4bf0ac5e8e6}" ma:sspId="9e4672c0-7a1b-4167-8664-1f3b422d4b4e" ma:termSetId="9f8d48b0-8c46-4388-8325-b61075638f2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23346d8-defd-4273-baad-05e818f4b141}" ma:internalName="TaxCatchAll" ma:showField="CatchAllData" ma:web="094ddc99-cd1b-465c-9a01-e266754d4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23346d8-defd-4273-baad-05e818f4b141}" ma:internalName="TaxCatchAllLabel" ma:readOnly="true" ma:showField="CatchAllDataLabel" ma:web="094ddc99-cd1b-465c-9a01-e266754d4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e805ea53a354a4bb1e5c081d8fc6b50" ma:index="12" nillable="true" ma:taxonomy="true" ma:internalName="ie805ea53a354a4bb1e5c081d8fc6b50" ma:taxonomyFieldName="Year" ma:displayName="Year" ma:default="" ma:fieldId="{2e805ea5-3a35-4a4b-b1e5-c081d8fc6b50}" ma:sspId="9e4672c0-7a1b-4167-8664-1f3b422d4b4e" ma:termSetId="5ce2c6b3-ad11-4dad-b6ee-bb7dd619e0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83ad0d8b6542a0953aad1a19640a7a" ma:index="14" ma:taxonomy="true" ma:internalName="nb83ad0d8b6542a0953aad1a19640a7a" ma:taxonomyFieldName="Document_x0020_Type" ma:displayName="Document Type" ma:readOnly="false" ma:default="" ma:fieldId="{7b83ad0d-8b65-42a0-953a-ad1a19640a7a}" ma:sspId="9e4672c0-7a1b-4167-8664-1f3b422d4b4e" ma:termSetId="e69d177f-e349-4ec7-a09f-85ab766d1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759bfb44ccb4db0b546fbf512c01d9b" ma:index="19" nillable="true" ma:taxonomy="true" ma:internalName="c759bfb44ccb4db0b546fbf512c01d9b" ma:taxonomyFieldName="Group1" ma:displayName="Group" ma:readOnly="false" ma:default="" ma:fieldId="{c759bfb4-4ccb-4db0-b546-fbf512c01d9b}" ma:sspId="9e4672c0-7a1b-4167-8664-1f3b422d4b4e" ma:termSetId="d203e241-b98e-44a9-820c-7491a8c1bb6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ddc99-cd1b-465c-9a01-e266754d4fdf" elementFormDefault="qualified">
    <xsd:import namespace="http://schemas.microsoft.com/office/2006/documentManagement/types"/>
    <xsd:import namespace="http://schemas.microsoft.com/office/infopath/2007/PartnerControls"/>
    <xsd:element name="ne7cbe2a140246beb74eeafa627c8377" ma:index="21" ma:taxonomy="true" ma:internalName="ne7cbe2a140246beb74eeafa627c8377" ma:taxonomyFieldName="NSC_BusinessSubject" ma:displayName="Business Subject" ma:readOnly="false" ma:default="1016;#Council-wide Policy|b38fb276-d85c-4d80-8201-5a557ac5240b" ma:fieldId="{7e7cbe2a-1402-46be-b74e-eafa627c8377}" ma:sspId="9e4672c0-7a1b-4167-8664-1f3b422d4b4e" ma:termSetId="5fe89956-2e3a-44ba-b063-75c80230688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tns:customPropertyEditors xmlns:tns="http://schemas.microsoft.com/office/2006/customDocumentInformationPanel">
  <tns:showOnOpen>true</tns:showOnOpen>
  <tns:defaultPropertyEditorNamespace>Standard properties</tns:defaultPropertyEditorNamespace>
</tns:customPropertyEditor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ScannedMailReceiver</Name>
    <Synchronization>Synchronous</Synchronization>
    <Type>2</Type>
    <SequenceNumber>1000</SequenceNumber>
    <Assembly>Nillumbik.IncomingMail, Version=1.0.0.0, Culture=neutral, PublicKeyToken=28b4d387f20cac61</Assembly>
    <Class>Nillumbik.IncomingMail.EventReceivers.ScannedMailReceiver</Class>
    <Data/>
    <Filter/>
  </Receiver>
</spe:Receiver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884DC-5F69-49E4-A652-B7E65A4B9B04}"/>
</file>

<file path=customXml/itemProps2.xml><?xml version="1.0" encoding="utf-8"?>
<ds:datastoreItem xmlns:ds="http://schemas.openxmlformats.org/officeDocument/2006/customXml" ds:itemID="{ACB1E891-5ABD-4574-AC69-F42FA3F5AFAC}"/>
</file>

<file path=customXml/itemProps3.xml><?xml version="1.0" encoding="utf-8"?>
<ds:datastoreItem xmlns:ds="http://schemas.openxmlformats.org/officeDocument/2006/customXml" ds:itemID="{18AB1169-21CF-48D7-A7FA-984EFA77463C}"/>
</file>

<file path=customXml/itemProps4.xml><?xml version="1.0" encoding="utf-8"?>
<ds:datastoreItem xmlns:ds="http://schemas.openxmlformats.org/officeDocument/2006/customXml" ds:itemID="{9E39EF88-8138-4975-ADD6-8C678CFA7AFB}"/>
</file>

<file path=customXml/itemProps5.xml><?xml version="1.0" encoding="utf-8"?>
<ds:datastoreItem xmlns:ds="http://schemas.openxmlformats.org/officeDocument/2006/customXml" ds:itemID="{992BEE46-8ED9-4DC6-8404-395EC5A6D138}"/>
</file>

<file path=customXml/itemProps6.xml><?xml version="1.0" encoding="utf-8"?>
<ds:datastoreItem xmlns:ds="http://schemas.openxmlformats.org/officeDocument/2006/customXml" ds:itemID="{5FCAAA58-93B2-4B0D-B942-3774138F0FEC}"/>
</file>

<file path=customXml/itemProps7.xml><?xml version="1.0" encoding="utf-8"?>
<ds:datastoreItem xmlns:ds="http://schemas.openxmlformats.org/officeDocument/2006/customXml" ds:itemID="{AEF15AA7-A10F-498D-A840-FA2ECB0AC56D}"/>
</file>

<file path=customXml/itemProps8.xml><?xml version="1.0" encoding="utf-8"?>
<ds:datastoreItem xmlns:ds="http://schemas.openxmlformats.org/officeDocument/2006/customXml" ds:itemID="{8F5AB380-D7FD-4FEB-A1FF-D7596DEAC5D9}"/>
</file>

<file path=docProps/app.xml><?xml version="1.0" encoding="utf-8"?>
<Properties xmlns="http://schemas.openxmlformats.org/officeDocument/2006/extended-properties" xmlns:vt="http://schemas.openxmlformats.org/officeDocument/2006/docPropsVTypes">
  <Template>Accessibility</Template>
  <TotalTime>21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HR17 - Rewards and recognition policy v2</vt:lpstr>
    </vt:vector>
  </TitlesOfParts>
  <Company>Nillumbik Shire Council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HR17 - Rewards and recognition policy v2</dc:title>
  <dc:creator>Karyn Kamminga</dc:creator>
  <cp:lastModifiedBy>Cindy Geyer</cp:lastModifiedBy>
  <cp:revision>6</cp:revision>
  <cp:lastPrinted>2014-02-02T12:10:00Z</cp:lastPrinted>
  <dcterms:created xsi:type="dcterms:W3CDTF">2016-10-27T01:46:00Z</dcterms:created>
  <dcterms:modified xsi:type="dcterms:W3CDTF">2016-10-27T02:09:00Z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0x0101000427F62DB85EA749944C48D2326AB04100DD579218AE42C24787BB617687946BE6</vt:lpwstr>
  </property>
  <property fmtid="{D5CDD505-2E9C-101B-9397-08002B2CF9AE}" pid="3" name="Course_x0020__x002F__x0020_Event">
    <vt:lpwstr>54;#All VET courses|1cee47aa-d99c-4d53-ad61-804a7a1acb46</vt:lpwstr>
  </property>
  <property fmtid="{D5CDD505-2E9C-101B-9397-08002B2CF9AE}" pid="4" name="Document_x0020_Type">
    <vt:lpwstr>385</vt:lpwstr>
  </property>
  <property fmtid="{D5CDD505-2E9C-101B-9397-08002B2CF9AE}" pid="5" name="BusinessSubject">
    <vt:lpwstr>186;#Policy Creation|2339faaf-7f5d-4b07-8d73-7a742c7a5486</vt:lpwstr>
  </property>
  <property fmtid="{D5CDD505-2E9C-101B-9397-08002B2CF9AE}" pid="6" name="Year">
    <vt:lpwstr>772;#2016|c5ef71e0-9658-4957-b864-5a2f49229c20</vt:lpwstr>
  </property>
  <property fmtid="{D5CDD505-2E9C-101B-9397-08002B2CF9AE}" pid="7" name="Month">
    <vt:lpwstr/>
  </property>
  <property fmtid="{D5CDD505-2E9C-101B-9397-08002B2CF9AE}" pid="8" name="Organisational_x0020__x002F__x0020_Body">
    <vt:lpwstr/>
  </property>
  <property fmtid="{D5CDD505-2E9C-101B-9397-08002B2CF9AE}" pid="9" name="Standards_x0020__x002F__x0020_Guidelines">
    <vt:lpwstr/>
  </property>
  <property fmtid="{D5CDD505-2E9C-101B-9397-08002B2CF9AE}" pid="10" name="Organisational / Body">
    <vt:lpwstr/>
  </property>
  <property fmtid="{D5CDD505-2E9C-101B-9397-08002B2CF9AE}" pid="11" name="Course / Event">
    <vt:lpwstr/>
  </property>
  <property fmtid="{D5CDD505-2E9C-101B-9397-08002B2CF9AE}" pid="12" name="Document Type">
    <vt:lpwstr>385;#Policy|e90516d2-656a-418a-8f89-3a00a854a88f</vt:lpwstr>
  </property>
  <property fmtid="{D5CDD505-2E9C-101B-9397-08002B2CF9AE}" pid="13" name="Standards / Guidelines">
    <vt:lpwstr/>
  </property>
  <property fmtid="{D5CDD505-2E9C-101B-9397-08002B2CF9AE}" pid="14" name="QMS_x0020_Document_x0020_Type">
    <vt:lpwstr>255;#Policy or procedure|d1fa9a7f-50c6-44a2-8268-30dff8d98de7</vt:lpwstr>
  </property>
  <property fmtid="{D5CDD505-2E9C-101B-9397-08002B2CF9AE}" pid="15" name="QMS_x0020_Business_x0020_Area">
    <vt:lpwstr>253;#Training and Assessment|03c3d37f-da72-4c56-8ef3-906e70374397</vt:lpwstr>
  </property>
  <property fmtid="{D5CDD505-2E9C-101B-9397-08002B2CF9AE}" pid="16" name="QMS Business Area">
    <vt:lpwstr/>
  </property>
  <property fmtid="{D5CDD505-2E9C-101B-9397-08002B2CF9AE}" pid="17" name="QMS Document Type">
    <vt:lpwstr/>
  </property>
  <property fmtid="{D5CDD505-2E9C-101B-9397-08002B2CF9AE}" pid="18" name="_dlc_DocIdItemGuid">
    <vt:lpwstr>c949b7cb-f5d4-4330-81a7-c96d78b48758</vt:lpwstr>
  </property>
  <property fmtid="{D5CDD505-2E9C-101B-9397-08002B2CF9AE}" pid="19" name="Policy_x0020_Type">
    <vt:lpwstr>114;#Policy|f002205f-7bed-4438-bacc-7470d5074dcd</vt:lpwstr>
  </property>
  <property fmtid="{D5CDD505-2E9C-101B-9397-08002B2CF9AE}" pid="20" name="Order">
    <vt:r8>700</vt:r8>
  </property>
  <property fmtid="{D5CDD505-2E9C-101B-9397-08002B2CF9AE}" pid="21" name="NSC_BusinessSubject">
    <vt:lpwstr>1016;#Council-wide Policy|b38fb276-d85c-4d80-8201-5a557ac5240b</vt:lpwstr>
  </property>
  <property fmtid="{D5CDD505-2E9C-101B-9397-08002B2CF9AE}" pid="22" name="Group1">
    <vt:lpwstr>439;#Living and Learning|c4b7ca4c-4ba7-47e9-a67d-1769ca6c4bb8</vt:lpwstr>
  </property>
  <property fmtid="{D5CDD505-2E9C-101B-9397-08002B2CF9AE}" pid="23" name="Policy Type">
    <vt:lpwstr>114;#Policy|f002205f-7bed-4438-bacc-7470d5074dcd</vt:lpwstr>
  </property>
  <property fmtid="{D5CDD505-2E9C-101B-9397-08002B2CF9AE}" pid="24" name="nb83ad0d8b6542a0953aad1a19640a7a">
    <vt:lpwstr>Policy|e90516d2-656a-418a-8f89-3a00a854a88f</vt:lpwstr>
  </property>
  <property fmtid="{D5CDD505-2E9C-101B-9397-08002B2CF9AE}" pid="25" name="Topic">
    <vt:lpwstr/>
  </property>
  <property fmtid="{D5CDD505-2E9C-101B-9397-08002B2CF9AE}" pid="26" name="j2e0a34e973943008ce205b7f21d15b9">
    <vt:lpwstr>Policy|f002205f-7bed-4438-bacc-7470d5074dcd</vt:lpwstr>
  </property>
</Properties>
</file>