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BBC1" w14:textId="345A771C" w:rsidR="004C2E78" w:rsidRPr="00291E37" w:rsidRDefault="001E6666" w:rsidP="006326B8">
      <w:pPr>
        <w:pStyle w:val="Title"/>
        <w:pBdr>
          <w:bottom w:val="single" w:sz="4" w:space="1" w:color="auto"/>
        </w:pBdr>
      </w:pPr>
      <w:r>
        <w:t>SM25</w:t>
      </w:r>
      <w:r w:rsidR="001D0AED" w:rsidRPr="00291E37">
        <w:t xml:space="preserve"> - </w:t>
      </w:r>
      <w:r w:rsidR="002325FA">
        <w:t>F</w:t>
      </w:r>
      <w:r>
        <w:t>ees, charges and refunds</w:t>
      </w:r>
      <w:r w:rsidR="00A1105B">
        <w:t xml:space="preserve"> policy</w:t>
      </w:r>
    </w:p>
    <w:p w14:paraId="541BDD7D" w14:textId="77777777" w:rsidR="004C2E78" w:rsidRPr="0048583D" w:rsidRDefault="004C2E78" w:rsidP="006326B8">
      <w:pPr>
        <w:pStyle w:val="Heading4"/>
      </w:pPr>
      <w:r w:rsidRPr="0048583D">
        <w:t>Purpose</w:t>
      </w:r>
    </w:p>
    <w:p w14:paraId="18241E68" w14:textId="77777777" w:rsidR="00066327" w:rsidRPr="00066327" w:rsidRDefault="00066327" w:rsidP="00066327">
      <w:r w:rsidRPr="00066327">
        <w:t>Living &amp; Learning Nillumbik is committed to applying fair and equitable fees and charges that:</w:t>
      </w:r>
    </w:p>
    <w:p w14:paraId="3CAF3481" w14:textId="77777777" w:rsidR="00066327" w:rsidRPr="00066327" w:rsidRDefault="00066327" w:rsidP="00066327">
      <w:pPr>
        <w:pStyle w:val="ListBullet"/>
        <w:ind w:left="720"/>
      </w:pPr>
      <w:r w:rsidRPr="00066327">
        <w:t>provide access for people from a wide range of backgrounds and circumstances;</w:t>
      </w:r>
    </w:p>
    <w:p w14:paraId="287DFF99" w14:textId="77777777" w:rsidR="00066327" w:rsidRPr="00066327" w:rsidRDefault="00066327" w:rsidP="00066327">
      <w:pPr>
        <w:pStyle w:val="ListBullet"/>
        <w:ind w:left="720"/>
      </w:pPr>
      <w:r w:rsidRPr="00066327">
        <w:t xml:space="preserve">promote responsible public participation; </w:t>
      </w:r>
    </w:p>
    <w:p w14:paraId="04C3560B" w14:textId="77777777" w:rsidR="00066327" w:rsidRPr="00066327" w:rsidRDefault="00066327" w:rsidP="00066327">
      <w:pPr>
        <w:pStyle w:val="ListBullet"/>
        <w:ind w:left="720"/>
      </w:pPr>
      <w:r w:rsidRPr="00066327">
        <w:t>are organisationally efficient and effective; and</w:t>
      </w:r>
    </w:p>
    <w:p w14:paraId="26CDCD5A" w14:textId="741F3B36" w:rsidR="00E5254B" w:rsidRDefault="00066327" w:rsidP="00E5254B">
      <w:pPr>
        <w:pStyle w:val="ListBullet"/>
        <w:ind w:left="720"/>
      </w:pPr>
      <w:r w:rsidRPr="00066327">
        <w:t>are viable within its available resources</w:t>
      </w:r>
      <w:r w:rsidR="00E5254B" w:rsidRPr="006C5D5D">
        <w:t>.</w:t>
      </w:r>
    </w:p>
    <w:p w14:paraId="2ACC211E" w14:textId="2701A65D" w:rsidR="00066327" w:rsidRPr="006C5D5D" w:rsidRDefault="00066327" w:rsidP="00066327">
      <w:r w:rsidRPr="00066327">
        <w:t>The purpose of this policy is to describe how tuition fees and other fees and charges are calculated, and to set out the terms in relation to payment of fees, withdrawals and refunds.</w:t>
      </w:r>
    </w:p>
    <w:p w14:paraId="25078B4D" w14:textId="32F88EED" w:rsidR="00110284" w:rsidRPr="0048583D" w:rsidRDefault="00E5254B" w:rsidP="00110284">
      <w:pPr>
        <w:pStyle w:val="Heading4"/>
      </w:pPr>
      <w:r>
        <w:t>Scope</w:t>
      </w:r>
    </w:p>
    <w:p w14:paraId="4FBCD3AC" w14:textId="74BAEC2C" w:rsidR="00066327" w:rsidRPr="00066327" w:rsidRDefault="00066327" w:rsidP="00066327">
      <w:r w:rsidRPr="00066327">
        <w:t xml:space="preserve">This policy applies to all new enrolments in Living &amp; Learning Nillumbik </w:t>
      </w:r>
      <w:r w:rsidR="00D416A5">
        <w:t xml:space="preserve">programs </w:t>
      </w:r>
      <w:r w:rsidRPr="00066327">
        <w:t xml:space="preserve">from the date of approval of this policy.  This includes nationally recognised qualifications and units of competency, and </w:t>
      </w:r>
      <w:r w:rsidR="00D416A5">
        <w:t xml:space="preserve">short </w:t>
      </w:r>
      <w:r w:rsidRPr="00066327">
        <w:t>courses</w:t>
      </w:r>
      <w:r w:rsidR="00D416A5">
        <w:t>, activities and events</w:t>
      </w:r>
      <w:r w:rsidRPr="00066327">
        <w:t xml:space="preserve">.  </w:t>
      </w:r>
    </w:p>
    <w:p w14:paraId="02DCB8A8" w14:textId="0FA54981" w:rsidR="00E5254B" w:rsidRPr="00D01C39" w:rsidRDefault="00066327" w:rsidP="00E5254B">
      <w:r w:rsidRPr="00066327">
        <w:t>Living &amp; Learning Nillumbik reserves the right to update this policy from time to time, including within the term of an individual learner’s enrolment with Living &amp; Learning Nillumbik, in response to changes to government policy, funding and regulatory requirements.  Changes that impact on currently enrolled learners will be communic</w:t>
      </w:r>
      <w:r>
        <w:t>ated to them in a timely manner</w:t>
      </w:r>
      <w:r w:rsidR="00E5254B">
        <w:t>.</w:t>
      </w:r>
    </w:p>
    <w:p w14:paraId="53018C4A" w14:textId="29F400FD" w:rsidR="00066327" w:rsidRDefault="00066327" w:rsidP="006326B8">
      <w:pPr>
        <w:pStyle w:val="Heading4"/>
      </w:pPr>
      <w:r>
        <w:t>Definitions</w:t>
      </w:r>
    </w:p>
    <w:p w14:paraId="75BFA7CE" w14:textId="671A2497" w:rsidR="004D0EEF" w:rsidRDefault="004D0EEF" w:rsidP="00066327">
      <w:r w:rsidRPr="00215009">
        <w:rPr>
          <w:b/>
        </w:rPr>
        <w:t xml:space="preserve">Concession </w:t>
      </w:r>
      <w:r>
        <w:t>refers to a discount on fees available to participants who are holders of:</w:t>
      </w:r>
    </w:p>
    <w:p w14:paraId="2A52ABB8" w14:textId="45030833" w:rsidR="004D0EEF" w:rsidRDefault="004D0EEF" w:rsidP="00215009">
      <w:pPr>
        <w:pStyle w:val="ListBullet2"/>
        <w:ind w:left="1083"/>
      </w:pPr>
      <w:r>
        <w:t>a Commonwealth Health Care Card, or</w:t>
      </w:r>
    </w:p>
    <w:p w14:paraId="4816267C" w14:textId="205E64B8" w:rsidR="004D0EEF" w:rsidRDefault="004D0EEF" w:rsidP="00215009">
      <w:pPr>
        <w:pStyle w:val="ListBullet2"/>
        <w:ind w:left="1083"/>
      </w:pPr>
      <w:r>
        <w:t>a Pensioner Concession Card, or</w:t>
      </w:r>
    </w:p>
    <w:p w14:paraId="0C8A9D21" w14:textId="7A9DC37D" w:rsidR="004D0EEF" w:rsidRDefault="004D0EEF" w:rsidP="00215009">
      <w:pPr>
        <w:pStyle w:val="ListBullet2"/>
        <w:ind w:left="1083"/>
      </w:pPr>
      <w:r>
        <w:t>a Veteran's Gold Card.</w:t>
      </w:r>
    </w:p>
    <w:p w14:paraId="604AB8AA" w14:textId="51B69275" w:rsidR="004D0EEF" w:rsidRDefault="004D0EEF" w:rsidP="00215009">
      <w:pPr>
        <w:pStyle w:val="ListBullet2"/>
        <w:numPr>
          <w:ilvl w:val="0"/>
          <w:numId w:val="0"/>
        </w:numPr>
      </w:pPr>
      <w:r>
        <w:t>Concessions are also applicable to the dependants of holders of a Commonwealth Health Care Card or a Pensioner Concession Card.</w:t>
      </w:r>
    </w:p>
    <w:p w14:paraId="167504E6" w14:textId="64FF5693" w:rsidR="00BD3569" w:rsidRPr="00BD3569" w:rsidRDefault="00BD3569" w:rsidP="00BD3569">
      <w:r w:rsidRPr="00207B6F">
        <w:rPr>
          <w:b/>
        </w:rPr>
        <w:t>Credit Transfer</w:t>
      </w:r>
      <w:r w:rsidRPr="00BD3569">
        <w:t xml:space="preserve"> assesses the initial course or subject that an individual is using to claim access to, or the award of credit in, a destination course. The assessment determines the extent to which the client’s initial course or subject is equivalent to the required learning </w:t>
      </w:r>
      <w:r w:rsidRPr="00BD3569">
        <w:lastRenderedPageBreak/>
        <w:t>outcomes, competency outcomes, or standards in a qualification.  This may include Credit Transfer based on formal learning that</w:t>
      </w:r>
      <w:r w:rsidR="00643712">
        <w:t xml:space="preserve"> was completed outside the AQF (</w:t>
      </w:r>
      <w:r w:rsidRPr="00BD3569">
        <w:t>Aust</w:t>
      </w:r>
      <w:r w:rsidR="00643712">
        <w:t>ralian Qualifications Framework)</w:t>
      </w:r>
      <w:r w:rsidRPr="00BD3569">
        <w:t>.</w:t>
      </w:r>
      <w:r w:rsidRPr="00BD3569">
        <w:rPr>
          <w:rStyle w:val="FootnoteReference"/>
        </w:rPr>
        <w:footnoteReference w:id="1"/>
      </w:r>
      <w:r w:rsidRPr="00BD3569">
        <w:t xml:space="preserve"> </w:t>
      </w:r>
    </w:p>
    <w:p w14:paraId="1539D91F" w14:textId="77777777" w:rsidR="00066327" w:rsidRPr="00066327" w:rsidRDefault="00066327" w:rsidP="00066327">
      <w:r w:rsidRPr="00066327">
        <w:rPr>
          <w:b/>
        </w:rPr>
        <w:t>Eligibility criteria</w:t>
      </w:r>
      <w:r w:rsidRPr="00066327">
        <w:t xml:space="preserve"> are the criteria set by the Victorian government for a person to be eligible for a subsidised training place.  They are subject to change from time to time.</w:t>
      </w:r>
    </w:p>
    <w:p w14:paraId="395EB23B" w14:textId="77777777" w:rsidR="00916949" w:rsidRPr="00916949" w:rsidRDefault="00916949" w:rsidP="00916949">
      <w:pPr>
        <w:rPr>
          <w:rStyle w:val="Strong"/>
          <w:b w:val="0"/>
        </w:rPr>
      </w:pPr>
      <w:r w:rsidRPr="00916949">
        <w:rPr>
          <w:rStyle w:val="Strong"/>
        </w:rPr>
        <w:t>Fee</w:t>
      </w:r>
      <w:r w:rsidRPr="00916949">
        <w:rPr>
          <w:rStyle w:val="Strong"/>
          <w:b w:val="0"/>
        </w:rPr>
        <w:t xml:space="preserve"> means a charge for tuition, amenities, materials, re-assessment, or administration costs associated with participation in a Living &amp; Learning course or activity.</w:t>
      </w:r>
    </w:p>
    <w:p w14:paraId="674B41BE" w14:textId="62F703EE" w:rsidR="00066327" w:rsidRPr="00066327" w:rsidRDefault="00066327" w:rsidP="00916949">
      <w:r w:rsidRPr="00066327">
        <w:rPr>
          <w:b/>
        </w:rPr>
        <w:t>Government-subsidised</w:t>
      </w:r>
      <w:r w:rsidRPr="00066327">
        <w:t xml:space="preserve"> refers to courses where learners who meet the eligibility criteria pay a lower tuition fee as the government has agreed to pay a proportion of the cost of their training.</w:t>
      </w:r>
    </w:p>
    <w:p w14:paraId="714209AF" w14:textId="77777777" w:rsidR="00916949" w:rsidRPr="00916949" w:rsidRDefault="00916949" w:rsidP="00916949">
      <w:r w:rsidRPr="00916949">
        <w:rPr>
          <w:rStyle w:val="Strong"/>
        </w:rPr>
        <w:t xml:space="preserve">Hardship </w:t>
      </w:r>
      <w:r w:rsidRPr="00916949">
        <w:t>is a temporary or ongoing condition due to illness, lack of money, misfortune or other significant difficulties.</w:t>
      </w:r>
    </w:p>
    <w:p w14:paraId="78EFCCCD" w14:textId="160027DD" w:rsidR="00916949" w:rsidRPr="00916949" w:rsidRDefault="00916949" w:rsidP="00916949">
      <w:r w:rsidRPr="00916949">
        <w:rPr>
          <w:b/>
        </w:rPr>
        <w:t>Learner</w:t>
      </w:r>
      <w:r w:rsidRPr="00916949">
        <w:t xml:space="preserve"> refers to any person enrolled with Living &amp; Learning Nillumbik to participate in a course or activity, and is synonymous with the terms “student” and “participant”.</w:t>
      </w:r>
    </w:p>
    <w:p w14:paraId="4D25FACD" w14:textId="34C3811F" w:rsidR="00066327" w:rsidRDefault="00066327" w:rsidP="00066327">
      <w:r w:rsidRPr="00066327">
        <w:rPr>
          <w:b/>
        </w:rPr>
        <w:t>Nationally recognised qualification courses</w:t>
      </w:r>
      <w:r w:rsidRPr="00066327">
        <w:t xml:space="preserve"> are courses that lead to the award of a qualification or certificate that is recognised throughout Australia.</w:t>
      </w:r>
    </w:p>
    <w:p w14:paraId="4D447F97" w14:textId="77777777" w:rsidR="00207B6F" w:rsidRDefault="00BD3569" w:rsidP="00066327">
      <w:r w:rsidRPr="00207B6F">
        <w:rPr>
          <w:b/>
        </w:rPr>
        <w:t>National recognition</w:t>
      </w:r>
      <w:r w:rsidRPr="00BD3569">
        <w:t xml:space="preserve"> means recognition by an RTO of the AQF qualifications and statements of attainment issued by all other RTOs, thereby enabling national recognition of the qualifications and statements of attainment issued to any person. </w:t>
      </w:r>
      <w:r w:rsidRPr="00BD3569">
        <w:rPr>
          <w:rStyle w:val="FootnoteReference"/>
        </w:rPr>
        <w:footnoteReference w:id="2"/>
      </w:r>
    </w:p>
    <w:p w14:paraId="15BF6E6F" w14:textId="57DFAD94" w:rsidR="00066327" w:rsidRPr="00066327" w:rsidRDefault="00066327" w:rsidP="00066327">
      <w:r w:rsidRPr="0087190D">
        <w:rPr>
          <w:b/>
        </w:rPr>
        <w:t>Pre-accredited courses</w:t>
      </w:r>
      <w:r w:rsidRPr="00066327">
        <w:t xml:space="preserve"> are short courses designed to be pathways to employment or further study that are subsidised by the Victorian government through Adult Community &amp; Further Education (ACFE).</w:t>
      </w:r>
    </w:p>
    <w:p w14:paraId="16CAA63F" w14:textId="77777777" w:rsidR="00BD3569" w:rsidRPr="00BD3569" w:rsidRDefault="00BD3569" w:rsidP="00BD3569">
      <w:r w:rsidRPr="00207B6F">
        <w:rPr>
          <w:b/>
        </w:rPr>
        <w:t>Recognition of Prior Learning (RPL)</w:t>
      </w:r>
      <w:r w:rsidRPr="00BD3569">
        <w:t xml:space="preserve"> means 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 competency outcomes, or standards for entry into, and/or partial or total completion of a program of study.</w:t>
      </w:r>
      <w:r w:rsidRPr="00BD3569">
        <w:rPr>
          <w:rStyle w:val="FootnoteReference"/>
        </w:rPr>
        <w:footnoteReference w:id="3"/>
      </w:r>
    </w:p>
    <w:p w14:paraId="56CA5375" w14:textId="77777777" w:rsidR="004D0EEF" w:rsidRDefault="004D0EEF" w:rsidP="004D0EEF">
      <w:r w:rsidRPr="004D0EEF">
        <w:rPr>
          <w:b/>
        </w:rPr>
        <w:lastRenderedPageBreak/>
        <w:t>Special consideration</w:t>
      </w:r>
      <w:r>
        <w:t xml:space="preserve"> refers to a process whereby participants may apply for an adjustment to their fees or payment arrangements if they are experiencing significant hardship.</w:t>
      </w:r>
    </w:p>
    <w:p w14:paraId="6BFC5085" w14:textId="77777777" w:rsidR="00066327" w:rsidRPr="00066327" w:rsidRDefault="00066327" w:rsidP="00066327">
      <w:r w:rsidRPr="00066327">
        <w:rPr>
          <w:b/>
        </w:rPr>
        <w:t>Statement of Attainment</w:t>
      </w:r>
      <w:r w:rsidRPr="00066327">
        <w:t xml:space="preserve"> is a formal statement of nationally recognised units of competency successfully completed by an individual.</w:t>
      </w:r>
    </w:p>
    <w:p w14:paraId="357B42F1" w14:textId="77777777" w:rsidR="00916949" w:rsidRPr="00916949" w:rsidRDefault="00916949" w:rsidP="00916949">
      <w:pPr>
        <w:rPr>
          <w:rStyle w:val="Strong"/>
        </w:rPr>
      </w:pPr>
      <w:r w:rsidRPr="00916949">
        <w:rPr>
          <w:rStyle w:val="Strong"/>
        </w:rPr>
        <w:t xml:space="preserve">Subsidy </w:t>
      </w:r>
      <w:r w:rsidRPr="00916949">
        <w:rPr>
          <w:rStyle w:val="Strong"/>
          <w:b w:val="0"/>
        </w:rPr>
        <w:t>refers to any costs covered by the organisation to allow a participant access to a specific activity.</w:t>
      </w:r>
    </w:p>
    <w:p w14:paraId="49A9E0FF" w14:textId="093677CF" w:rsidR="00066327" w:rsidRPr="00066327" w:rsidRDefault="00066327" w:rsidP="00916949">
      <w:r w:rsidRPr="00066327">
        <w:rPr>
          <w:b/>
        </w:rPr>
        <w:t>Training</w:t>
      </w:r>
      <w:r w:rsidRPr="00066327">
        <w:t xml:space="preserve"> refers to participation in, or studying, a course leading to a vocational outcome.  This includes nationally recognised qualification courses and pre-accredited courses.</w:t>
      </w:r>
    </w:p>
    <w:p w14:paraId="15297905" w14:textId="77777777" w:rsidR="00066327" w:rsidRDefault="00066327" w:rsidP="00066327">
      <w:r w:rsidRPr="00066327">
        <w:rPr>
          <w:b/>
        </w:rPr>
        <w:t>Unit of competency</w:t>
      </w:r>
      <w:r w:rsidRPr="00066327">
        <w:t xml:space="preserve"> refers to a unit that forms part of a nationally recognised qualification.  Units may be delivered as stand-alone modules or as part of a qualification course.  A Statement of Attainment is issued to learners who successfully complete a stand-alone module, or who withdraw from a qualification course and have successfully completed one or more units of competency.</w:t>
      </w:r>
    </w:p>
    <w:p w14:paraId="583A3C48" w14:textId="77777777" w:rsidR="004C2E78" w:rsidRPr="0048583D" w:rsidRDefault="004C2E78" w:rsidP="006326B8">
      <w:pPr>
        <w:pStyle w:val="Heading4"/>
      </w:pPr>
      <w:r w:rsidRPr="0048583D">
        <w:t>Policy</w:t>
      </w:r>
    </w:p>
    <w:p w14:paraId="65F42C37" w14:textId="6F3F6019" w:rsidR="00E5254B" w:rsidRPr="00066327" w:rsidRDefault="00066327" w:rsidP="00066327">
      <w:pPr>
        <w:pStyle w:val="ListContinue"/>
        <w:rPr>
          <w:b/>
        </w:rPr>
      </w:pPr>
      <w:r w:rsidRPr="00066327">
        <w:rPr>
          <w:b/>
        </w:rPr>
        <w:t>Calculation of fees: government-subsidised places</w:t>
      </w:r>
    </w:p>
    <w:p w14:paraId="5DFF8C3D" w14:textId="38B2B798" w:rsidR="004D0EEF" w:rsidRDefault="004D0EEF" w:rsidP="00066327">
      <w:pPr>
        <w:pStyle w:val="ListContinue"/>
        <w:numPr>
          <w:ilvl w:val="0"/>
          <w:numId w:val="0"/>
        </w:numPr>
        <w:ind w:left="720"/>
      </w:pPr>
      <w:r>
        <w:t>Some</w:t>
      </w:r>
      <w:r w:rsidRPr="00066327">
        <w:t xml:space="preserve"> </w:t>
      </w:r>
      <w:r w:rsidR="00066327" w:rsidRPr="00066327">
        <w:t xml:space="preserve">Living &amp; Learning Nillumbik </w:t>
      </w:r>
      <w:r>
        <w:t xml:space="preserve">vocational </w:t>
      </w:r>
      <w:r w:rsidR="00066327" w:rsidRPr="00066327">
        <w:t>courses have government-subsidised places, for which some individuals are eligible.  This means the government pays a proportion of the cost and the learner pays the remainder.  The proportion paid by the learner varies from course to course according to</w:t>
      </w:r>
      <w:r>
        <w:t>:</w:t>
      </w:r>
    </w:p>
    <w:p w14:paraId="2C7BCC78" w14:textId="0083DBCA" w:rsidR="004D0EEF" w:rsidRDefault="00066327" w:rsidP="00215009">
      <w:pPr>
        <w:pStyle w:val="ListBullet2"/>
        <w:ind w:left="1803"/>
      </w:pPr>
      <w:r w:rsidRPr="00066327">
        <w:t xml:space="preserve">the government subsidy level for that course, </w:t>
      </w:r>
    </w:p>
    <w:p w14:paraId="0E2B931B" w14:textId="77777777" w:rsidR="004D0EEF" w:rsidRDefault="00066327" w:rsidP="00215009">
      <w:pPr>
        <w:pStyle w:val="ListBullet2"/>
        <w:ind w:left="1803"/>
      </w:pPr>
      <w:r w:rsidRPr="00066327">
        <w:t>whether the learner is a concession</w:t>
      </w:r>
      <w:r w:rsidR="0087190D">
        <w:t xml:space="preserve"> </w:t>
      </w:r>
      <w:r w:rsidRPr="00066327">
        <w:t xml:space="preserve">card holder, and </w:t>
      </w:r>
    </w:p>
    <w:p w14:paraId="63511ADC" w14:textId="38B72756" w:rsidR="00E5254B" w:rsidRDefault="00066327" w:rsidP="00215009">
      <w:pPr>
        <w:pStyle w:val="ListBullet2"/>
        <w:ind w:left="1803"/>
      </w:pPr>
      <w:r w:rsidRPr="00066327">
        <w:t>the cost for Living &amp; Learning Ni</w:t>
      </w:r>
      <w:r>
        <w:t>llumbik to deliver the course</w:t>
      </w:r>
      <w:r w:rsidR="00E5254B" w:rsidRPr="00E5254B">
        <w:t>.</w:t>
      </w:r>
    </w:p>
    <w:p w14:paraId="50003D14" w14:textId="25BAA5D5" w:rsidR="00066327" w:rsidRPr="00916949" w:rsidRDefault="00066327" w:rsidP="00146797">
      <w:pPr>
        <w:pStyle w:val="ListContinue2"/>
        <w:rPr>
          <w:b/>
        </w:rPr>
      </w:pPr>
      <w:r w:rsidRPr="000F731B">
        <w:rPr>
          <w:b/>
        </w:rPr>
        <w:t xml:space="preserve">Tuition </w:t>
      </w:r>
      <w:r w:rsidRPr="0087190D">
        <w:rPr>
          <w:b/>
        </w:rPr>
        <w:t xml:space="preserve">fees </w:t>
      </w:r>
      <w:r w:rsidR="0087190D" w:rsidRPr="0087190D">
        <w:rPr>
          <w:b/>
        </w:rPr>
        <w:t>for eligible learners</w:t>
      </w:r>
      <w:r w:rsidR="0087190D">
        <w:t xml:space="preserve"> </w:t>
      </w:r>
      <w:r w:rsidRPr="000F731B">
        <w:rPr>
          <w:b/>
        </w:rPr>
        <w:t xml:space="preserve">under </w:t>
      </w:r>
      <w:r w:rsidR="00916949" w:rsidRPr="00916949">
        <w:rPr>
          <w:b/>
        </w:rPr>
        <w:t xml:space="preserve">government funding </w:t>
      </w:r>
      <w:r w:rsidR="006B5095" w:rsidRPr="00916949">
        <w:rPr>
          <w:b/>
        </w:rPr>
        <w:t>program</w:t>
      </w:r>
      <w:r w:rsidR="00916949" w:rsidRPr="00916949">
        <w:rPr>
          <w:b/>
        </w:rPr>
        <w:t>s</w:t>
      </w:r>
    </w:p>
    <w:p w14:paraId="34340F98" w14:textId="6CBD80F5" w:rsidR="00066327" w:rsidRPr="00066327" w:rsidRDefault="00066327" w:rsidP="00146797">
      <w:pPr>
        <w:ind w:left="1435"/>
      </w:pPr>
      <w:r w:rsidRPr="00066327">
        <w:t xml:space="preserve">Living &amp; Learning Nillumbik follows the current </w:t>
      </w:r>
      <w:r w:rsidR="00916949">
        <w:t xml:space="preserve">government funding </w:t>
      </w:r>
      <w:r w:rsidR="006B5095">
        <w:t>program</w:t>
      </w:r>
      <w:r w:rsidRPr="00066327">
        <w:t xml:space="preserve"> </w:t>
      </w:r>
      <w:r w:rsidR="00916949">
        <w:t xml:space="preserve">guidelines </w:t>
      </w:r>
      <w:r w:rsidRPr="00066327">
        <w:t>in relation to setting fees</w:t>
      </w:r>
      <w:r w:rsidR="0087190D">
        <w:t xml:space="preserve"> for eligible learners</w:t>
      </w:r>
      <w:r w:rsidRPr="00066327">
        <w:t>.</w:t>
      </w:r>
    </w:p>
    <w:p w14:paraId="5ADF9764" w14:textId="3B3A1ADC" w:rsidR="00066327" w:rsidRPr="00066327" w:rsidRDefault="00066327" w:rsidP="00146797">
      <w:pPr>
        <w:ind w:left="1435"/>
      </w:pPr>
      <w:r w:rsidRPr="00066327">
        <w:t xml:space="preserve">A learner’s eligibility for a government-subsidised training place is determined prior to enrolment, according to the </w:t>
      </w:r>
      <w:r w:rsidR="004D0EEF">
        <w:t>applicable</w:t>
      </w:r>
      <w:r w:rsidR="004D0EEF" w:rsidRPr="00066327">
        <w:t xml:space="preserve"> </w:t>
      </w:r>
      <w:r w:rsidR="0087190D">
        <w:t>criteria</w:t>
      </w:r>
      <w:r w:rsidRPr="00066327">
        <w:t>.</w:t>
      </w:r>
    </w:p>
    <w:p w14:paraId="2D3B48B0" w14:textId="4D2AFB9B" w:rsidR="00066327" w:rsidRDefault="00066327" w:rsidP="00146797">
      <w:pPr>
        <w:ind w:left="1435"/>
      </w:pPr>
      <w:r w:rsidRPr="00066327">
        <w:t xml:space="preserve">For each eligible learner, Living &amp; Learning Nillumbik will calculate a tuition fee on the basis of an amount for each scheduled hour of government-subsidised training in which a person </w:t>
      </w:r>
      <w:r w:rsidR="0087190D">
        <w:t>is enrolled</w:t>
      </w:r>
      <w:r w:rsidRPr="00066327">
        <w:t>.</w:t>
      </w:r>
      <w:r w:rsidR="0087190D">
        <w:t xml:space="preserve">  </w:t>
      </w:r>
      <w:r w:rsidRPr="00066327">
        <w:t>Hourly tuition fee rates are set on the basis of the rate of government subsidy for that course and the cost for Living &amp; Learning Nillumbik to deliver the course.</w:t>
      </w:r>
    </w:p>
    <w:p w14:paraId="7A8FF464" w14:textId="77777777" w:rsidR="004B5978" w:rsidRPr="00066327" w:rsidRDefault="004B5978" w:rsidP="00146797">
      <w:pPr>
        <w:ind w:left="1435"/>
      </w:pPr>
    </w:p>
    <w:p w14:paraId="2B959F70" w14:textId="1BA9F852" w:rsidR="00066327" w:rsidRPr="0067647C" w:rsidRDefault="00066327" w:rsidP="00146797">
      <w:pPr>
        <w:pStyle w:val="ListContinue2"/>
        <w:rPr>
          <w:b/>
        </w:rPr>
      </w:pPr>
      <w:r w:rsidRPr="0067647C">
        <w:rPr>
          <w:b/>
        </w:rPr>
        <w:lastRenderedPageBreak/>
        <w:t>Concessions</w:t>
      </w:r>
    </w:p>
    <w:p w14:paraId="26125951" w14:textId="6A2503FF" w:rsidR="00066327" w:rsidRPr="00066327" w:rsidRDefault="00066327" w:rsidP="00146797">
      <w:pPr>
        <w:ind w:left="1435"/>
      </w:pPr>
      <w:r w:rsidRPr="00066327">
        <w:t xml:space="preserve">Concession tuition fees are set in accordance with </w:t>
      </w:r>
      <w:r w:rsidR="001A5C91">
        <w:t xml:space="preserve">the current government funding program </w:t>
      </w:r>
      <w:r w:rsidRPr="00066327">
        <w:t>requirements for eligible learners.</w:t>
      </w:r>
    </w:p>
    <w:p w14:paraId="41986E9A" w14:textId="021A7CED" w:rsidR="00066327" w:rsidRDefault="00066327" w:rsidP="00146797">
      <w:pPr>
        <w:ind w:left="1435"/>
      </w:pPr>
      <w:r w:rsidRPr="00066327">
        <w:t xml:space="preserve">Concession cards </w:t>
      </w:r>
      <w:r w:rsidR="004803E2">
        <w:t xml:space="preserve">and/or proof of eligibility for a concession </w:t>
      </w:r>
      <w:r w:rsidRPr="00066327">
        <w:t xml:space="preserve">must be </w:t>
      </w:r>
      <w:r w:rsidR="004803E2">
        <w:t xml:space="preserve">dated </w:t>
      </w:r>
      <w:r w:rsidR="004B5978">
        <w:t xml:space="preserve">as being effective </w:t>
      </w:r>
      <w:r w:rsidR="004803E2">
        <w:t>prior to the training commencement date</w:t>
      </w:r>
      <w:r w:rsidR="004B5978">
        <w:t xml:space="preserve"> in order for an individual to be eligible for the concession tuition fee for the enrolment</w:t>
      </w:r>
      <w:r w:rsidR="004803E2">
        <w:t xml:space="preserve">.  The original concession card and/or proof of eligibility for a concession must be </w:t>
      </w:r>
      <w:r w:rsidRPr="00066327">
        <w:t>sighted by Living &amp; Learning, and a copy retained on the learner’s file.</w:t>
      </w:r>
      <w:r w:rsidR="004B5978">
        <w:t xml:space="preserve">  </w:t>
      </w:r>
      <w:r w:rsidR="004803E2">
        <w:t xml:space="preserve">    </w:t>
      </w:r>
    </w:p>
    <w:p w14:paraId="51F68C2A" w14:textId="3179DF9A" w:rsidR="004B5978" w:rsidRDefault="004B5978" w:rsidP="005F070A">
      <w:pPr>
        <w:ind w:left="1435"/>
      </w:pPr>
      <w:r>
        <w:t>If a learner becomes eligible for a concession after the training commencement date (with the effective date being after training commenced), the non-concession fee still applies.</w:t>
      </w:r>
    </w:p>
    <w:p w14:paraId="5533F68A" w14:textId="77777777" w:rsidR="004803E2" w:rsidRPr="004803E2" w:rsidRDefault="004803E2" w:rsidP="005F070A">
      <w:pPr>
        <w:ind w:left="1435"/>
      </w:pPr>
      <w:r w:rsidRPr="00066327">
        <w:t xml:space="preserve">If a learner who was eligible for a concession at the commencement of a qualification course becomes ineligible before the completion of the training, this does not affect the tuition fees payable – the concession fee still applies.  </w:t>
      </w:r>
    </w:p>
    <w:p w14:paraId="7381D779" w14:textId="77777777" w:rsidR="00DE5FFD" w:rsidRPr="00DE5FFD" w:rsidRDefault="00DE5FFD" w:rsidP="00DE5FFD">
      <w:pPr>
        <w:pStyle w:val="ListContinue2"/>
        <w:rPr>
          <w:b/>
        </w:rPr>
      </w:pPr>
      <w:r w:rsidRPr="00DE5FFD">
        <w:rPr>
          <w:b/>
        </w:rPr>
        <w:t>Job Seekers</w:t>
      </w:r>
    </w:p>
    <w:p w14:paraId="6B471CC8" w14:textId="3C8CFDE2" w:rsidR="00DE5FFD" w:rsidRPr="00066327" w:rsidRDefault="00DE5FFD" w:rsidP="00146797">
      <w:pPr>
        <w:ind w:left="1435"/>
      </w:pPr>
      <w:r w:rsidRPr="00DE5FFD">
        <w:t>Learners who ar</w:t>
      </w:r>
      <w:r w:rsidR="00A55F80">
        <w:t xml:space="preserve">e job </w:t>
      </w:r>
      <w:r w:rsidRPr="00DE5FFD">
        <w:t xml:space="preserve">seekers registered with a </w:t>
      </w:r>
      <w:r w:rsidRPr="005F070A">
        <w:rPr>
          <w:i/>
        </w:rPr>
        <w:t>jobactive</w:t>
      </w:r>
      <w:r w:rsidRPr="00DE5FFD">
        <w:t xml:space="preserve"> provider are required to be formally referred to Living &amp; Learning Nillumbik using a Job Seeker Referral Form.  This form outlines payment options for learners and the referring agency.</w:t>
      </w:r>
    </w:p>
    <w:p w14:paraId="6AB18C03" w14:textId="77777777" w:rsidR="00066327" w:rsidRPr="0067647C" w:rsidRDefault="00066327" w:rsidP="00146797">
      <w:pPr>
        <w:pStyle w:val="ListContinue2"/>
        <w:rPr>
          <w:b/>
        </w:rPr>
      </w:pPr>
      <w:r w:rsidRPr="0067647C">
        <w:rPr>
          <w:b/>
        </w:rPr>
        <w:t>Indigenous Completions Initiative</w:t>
      </w:r>
    </w:p>
    <w:p w14:paraId="38554F4B" w14:textId="23732F60" w:rsidR="00066327" w:rsidRPr="00066327" w:rsidRDefault="00066327" w:rsidP="00146797">
      <w:pPr>
        <w:ind w:left="1435"/>
      </w:pPr>
      <w:r w:rsidRPr="00066327">
        <w:t xml:space="preserve">Under the Indigenous Completions Initiative, </w:t>
      </w:r>
      <w:r w:rsidR="0067647C">
        <w:t>I</w:t>
      </w:r>
      <w:r w:rsidRPr="00066327">
        <w:t xml:space="preserve">ndigenous learners </w:t>
      </w:r>
      <w:r w:rsidR="00A342AC">
        <w:t xml:space="preserve">who are eligible for a government-subsidised place </w:t>
      </w:r>
      <w:r w:rsidRPr="00066327">
        <w:t>will be charged at the concession rate</w:t>
      </w:r>
      <w:r w:rsidR="00074814">
        <w:t xml:space="preserve"> for courses at any level</w:t>
      </w:r>
      <w:r w:rsidRPr="00066327">
        <w:t>.</w:t>
      </w:r>
    </w:p>
    <w:p w14:paraId="2C4F2DC3" w14:textId="77777777" w:rsidR="00066327" w:rsidRPr="000F731B" w:rsidRDefault="00066327" w:rsidP="00146797">
      <w:pPr>
        <w:pStyle w:val="ListContinue2"/>
        <w:tabs>
          <w:tab w:val="clear" w:pos="1435"/>
          <w:tab w:val="num" w:pos="1430"/>
        </w:tabs>
        <w:ind w:left="1430"/>
        <w:rPr>
          <w:b/>
        </w:rPr>
      </w:pPr>
      <w:r w:rsidRPr="000F731B">
        <w:rPr>
          <w:b/>
        </w:rPr>
        <w:t>Tuition fees for pre-accredited courses</w:t>
      </w:r>
    </w:p>
    <w:p w14:paraId="4364C261" w14:textId="4AE60B56" w:rsidR="004D0EEF" w:rsidRDefault="00066327" w:rsidP="00146797">
      <w:pPr>
        <w:ind w:left="1430"/>
      </w:pPr>
      <w:r w:rsidRPr="00066327">
        <w:t xml:space="preserve">For pre-accredited pathways courses subsidised by the Victorian government through ACFE, tuition fees are calculated </w:t>
      </w:r>
      <w:r w:rsidR="00074814">
        <w:t>in accordance with any applicable</w:t>
      </w:r>
      <w:r w:rsidRPr="00066327">
        <w:t xml:space="preserve"> rate</w:t>
      </w:r>
      <w:r w:rsidR="00AD01DA">
        <w:t>s</w:t>
      </w:r>
      <w:r w:rsidRPr="00066327">
        <w:t xml:space="preserve"> set by ACFE each year.</w:t>
      </w:r>
      <w:r w:rsidR="004D0EEF">
        <w:t xml:space="preserve">  </w:t>
      </w:r>
    </w:p>
    <w:p w14:paraId="749B6010" w14:textId="5B4A7471" w:rsidR="00066327" w:rsidRPr="00066327" w:rsidRDefault="004D0EEF" w:rsidP="00146797">
      <w:pPr>
        <w:ind w:left="1430"/>
      </w:pPr>
      <w:r>
        <w:t>Concession tuition fees are available to eligible participants in pre-accredited courses.</w:t>
      </w:r>
    </w:p>
    <w:p w14:paraId="70F74B89" w14:textId="77777777" w:rsidR="00066327" w:rsidRPr="000F731B" w:rsidRDefault="00066327" w:rsidP="00146797">
      <w:pPr>
        <w:pStyle w:val="ListContinue2"/>
        <w:tabs>
          <w:tab w:val="clear" w:pos="1435"/>
          <w:tab w:val="num" w:pos="1430"/>
        </w:tabs>
        <w:ind w:left="1430"/>
        <w:rPr>
          <w:b/>
        </w:rPr>
      </w:pPr>
      <w:r w:rsidRPr="000F731B">
        <w:rPr>
          <w:b/>
        </w:rPr>
        <w:t>Other fees for government-subsidised training</w:t>
      </w:r>
    </w:p>
    <w:p w14:paraId="5A19AE65" w14:textId="77777777" w:rsidR="00066327" w:rsidRDefault="00066327" w:rsidP="00146797">
      <w:pPr>
        <w:ind w:left="1430"/>
      </w:pPr>
      <w:r w:rsidRPr="00066327">
        <w:t>Refer to the “Other fees” section below for further information on fees that may apply to learners in government-subsidised training with Living &amp; Learning Nillumbik.</w:t>
      </w:r>
    </w:p>
    <w:p w14:paraId="2B83D789" w14:textId="77777777" w:rsidR="004B5978" w:rsidRPr="00066327" w:rsidRDefault="004B5978" w:rsidP="00146797">
      <w:pPr>
        <w:ind w:left="1430"/>
      </w:pPr>
    </w:p>
    <w:p w14:paraId="26443AA0" w14:textId="77777777" w:rsidR="00066327" w:rsidRPr="000F731B" w:rsidRDefault="00066327" w:rsidP="000F731B">
      <w:pPr>
        <w:pStyle w:val="ListContinue"/>
        <w:rPr>
          <w:b/>
        </w:rPr>
      </w:pPr>
      <w:r w:rsidRPr="000F731B">
        <w:rPr>
          <w:b/>
        </w:rPr>
        <w:lastRenderedPageBreak/>
        <w:t>Calculation of fees: fee-for-service places</w:t>
      </w:r>
    </w:p>
    <w:p w14:paraId="54E11EE4" w14:textId="77777777" w:rsidR="001A5C91" w:rsidRDefault="00066327" w:rsidP="00DA47B1">
      <w:pPr>
        <w:pStyle w:val="ListContinue2"/>
        <w:numPr>
          <w:ilvl w:val="0"/>
          <w:numId w:val="0"/>
        </w:numPr>
        <w:ind w:left="715"/>
      </w:pPr>
      <w:r w:rsidRPr="00066327">
        <w:t>Fee-for-service fees apply to</w:t>
      </w:r>
      <w:r w:rsidR="001A5C91">
        <w:t>:</w:t>
      </w:r>
      <w:r w:rsidRPr="00066327">
        <w:t xml:space="preserve"> </w:t>
      </w:r>
    </w:p>
    <w:p w14:paraId="620ACB13" w14:textId="7188C5E6" w:rsidR="001A5C91" w:rsidRDefault="001A5C91" w:rsidP="00215009">
      <w:pPr>
        <w:pStyle w:val="ListBullet"/>
        <w:ind w:left="1440"/>
      </w:pPr>
      <w:r>
        <w:t>L</w:t>
      </w:r>
      <w:r w:rsidR="00066327" w:rsidRPr="00066327">
        <w:t>earners in nationally rec</w:t>
      </w:r>
      <w:r>
        <w:t>ognised qualification courses and</w:t>
      </w:r>
      <w:r w:rsidR="00066327" w:rsidRPr="00066327">
        <w:t xml:space="preserve"> pre</w:t>
      </w:r>
      <w:r w:rsidR="00066327" w:rsidRPr="00066327">
        <w:noBreakHyphen/>
        <w:t>accredited courses who are not eligible for</w:t>
      </w:r>
      <w:r>
        <w:t xml:space="preserve"> government-subsidised training;</w:t>
      </w:r>
      <w:r w:rsidR="00066327" w:rsidRPr="00066327">
        <w:t xml:space="preserve"> </w:t>
      </w:r>
      <w:r>
        <w:t xml:space="preserve">and </w:t>
      </w:r>
    </w:p>
    <w:p w14:paraId="556BBA83" w14:textId="77777777" w:rsidR="001A5C91" w:rsidRDefault="001A5C91" w:rsidP="00215009">
      <w:pPr>
        <w:pStyle w:val="ListBullet"/>
        <w:ind w:left="1440"/>
      </w:pPr>
      <w:r>
        <w:t>P</w:t>
      </w:r>
      <w:r w:rsidR="00066327" w:rsidRPr="00066327">
        <w:t xml:space="preserve">eople enrolling in </w:t>
      </w:r>
      <w:r w:rsidR="00DE5FFD">
        <w:t>programs</w:t>
      </w:r>
      <w:r w:rsidR="00066327" w:rsidRPr="00066327">
        <w:t xml:space="preserve"> that are not government-subsidised.  </w:t>
      </w:r>
    </w:p>
    <w:p w14:paraId="1BDB4DD9" w14:textId="440407E6" w:rsidR="00066327" w:rsidRPr="00066327" w:rsidRDefault="001A5C91" w:rsidP="001A5C91">
      <w:r>
        <w:tab/>
      </w:r>
      <w:r w:rsidR="00066327" w:rsidRPr="00066327">
        <w:t xml:space="preserve">Tuition fees for fee-for-service places are calculated based on the full cost for Living </w:t>
      </w:r>
      <w:r>
        <w:tab/>
      </w:r>
      <w:r w:rsidR="00066327" w:rsidRPr="00066327">
        <w:t>&amp; Learning Nillumbik to deliver the course.</w:t>
      </w:r>
    </w:p>
    <w:p w14:paraId="5F5C19BC" w14:textId="7C6406B4" w:rsidR="00C35A64" w:rsidRDefault="0032284F" w:rsidP="00C35A64">
      <w:pPr>
        <w:ind w:left="715"/>
      </w:pPr>
      <w:r w:rsidRPr="0032284F">
        <w:t xml:space="preserve">Concessions may be available to holders of current Health Care Cards, Pension Concession Cards, or Veterans Gold Card.  </w:t>
      </w:r>
    </w:p>
    <w:p w14:paraId="5824A2BB" w14:textId="6B542F11" w:rsidR="0032284F" w:rsidRDefault="0032284F" w:rsidP="00C35A64">
      <w:pPr>
        <w:ind w:left="715"/>
      </w:pPr>
      <w:r w:rsidRPr="0032284F">
        <w:t>The carer of a person with a current Companion Card may attend class with the person at no cost to the carer.</w:t>
      </w:r>
    </w:p>
    <w:p w14:paraId="2462245F" w14:textId="6E444875" w:rsidR="001A5C91" w:rsidRPr="0032284F" w:rsidRDefault="001A5C91" w:rsidP="00C35A64">
      <w:pPr>
        <w:ind w:left="715"/>
      </w:pPr>
      <w:r w:rsidRPr="0032284F">
        <w:t>Concession cards and Companion cards must be si</w:t>
      </w:r>
      <w:r w:rsidRPr="001A5C91">
        <w:t xml:space="preserve">ghted and </w:t>
      </w:r>
      <w:r w:rsidR="00074814">
        <w:t xml:space="preserve">relevant details </w:t>
      </w:r>
      <w:r w:rsidRPr="001A5C91">
        <w:t>recorded in the Student Management System.</w:t>
      </w:r>
    </w:p>
    <w:p w14:paraId="0CFCA949" w14:textId="3A3BF0BC" w:rsidR="00066327" w:rsidRPr="000F731B" w:rsidRDefault="00066327" w:rsidP="000F731B">
      <w:pPr>
        <w:pStyle w:val="ListContinue"/>
        <w:rPr>
          <w:b/>
        </w:rPr>
      </w:pPr>
      <w:r w:rsidRPr="000F731B">
        <w:rPr>
          <w:b/>
        </w:rPr>
        <w:t xml:space="preserve">Other </w:t>
      </w:r>
      <w:r w:rsidRPr="000B3BAD">
        <w:rPr>
          <w:b/>
        </w:rPr>
        <w:t>fees</w:t>
      </w:r>
      <w:r w:rsidR="00207B6F" w:rsidRPr="000B3BAD">
        <w:rPr>
          <w:b/>
        </w:rPr>
        <w:t xml:space="preserve"> - </w:t>
      </w:r>
      <w:r w:rsidR="000B3BAD" w:rsidRPr="000B3BAD">
        <w:rPr>
          <w:b/>
        </w:rPr>
        <w:t>nationally recognised qualification courses</w:t>
      </w:r>
      <w:r w:rsidR="00207B6F">
        <w:t xml:space="preserve"> </w:t>
      </w:r>
    </w:p>
    <w:p w14:paraId="0184C0F1" w14:textId="057224F0" w:rsidR="00215009" w:rsidRDefault="00066327" w:rsidP="00215009">
      <w:pPr>
        <w:ind w:left="720"/>
      </w:pPr>
      <w:r w:rsidRPr="00066327">
        <w:t>Living &amp; Learning Nillumbik may charge other fees to recover actual costs of providing materials, resources or services required for participation in a course or activity, or services requested by a learner.</w:t>
      </w:r>
      <w:r w:rsidR="00215009">
        <w:t xml:space="preserve">  </w:t>
      </w:r>
    </w:p>
    <w:p w14:paraId="46DED348" w14:textId="77777777" w:rsidR="00066327" w:rsidRPr="000F731B" w:rsidRDefault="00066327" w:rsidP="00146797">
      <w:pPr>
        <w:pStyle w:val="ListContinue2"/>
        <w:tabs>
          <w:tab w:val="clear" w:pos="1435"/>
          <w:tab w:val="num" w:pos="1430"/>
        </w:tabs>
        <w:ind w:left="1430"/>
        <w:rPr>
          <w:b/>
        </w:rPr>
      </w:pPr>
      <w:r w:rsidRPr="000F731B">
        <w:rPr>
          <w:b/>
        </w:rPr>
        <w:t>Amenities and Materials fees</w:t>
      </w:r>
    </w:p>
    <w:p w14:paraId="6D5C5C9A" w14:textId="77777777" w:rsidR="00066327" w:rsidRPr="00066327" w:rsidRDefault="00066327" w:rsidP="00146797">
      <w:pPr>
        <w:ind w:left="1430"/>
      </w:pPr>
      <w:r w:rsidRPr="00066327">
        <w:t>Amenities and Materials fees are set per course as a contribution by learners to the cost of providing course materials, resources, and support.</w:t>
      </w:r>
    </w:p>
    <w:p w14:paraId="0B596BEC" w14:textId="77777777" w:rsidR="00066327" w:rsidRPr="00066327" w:rsidRDefault="00066327" w:rsidP="00146797">
      <w:pPr>
        <w:ind w:left="1430"/>
      </w:pPr>
      <w:r w:rsidRPr="00066327">
        <w:t xml:space="preserve">There are no concessions available on Amenities and Materials fees.  </w:t>
      </w:r>
    </w:p>
    <w:p w14:paraId="008DE679" w14:textId="0E30FCA5" w:rsidR="00066327" w:rsidRPr="000F731B" w:rsidRDefault="00066327" w:rsidP="00146797">
      <w:pPr>
        <w:pStyle w:val="ListContinue2"/>
        <w:tabs>
          <w:tab w:val="clear" w:pos="1435"/>
          <w:tab w:val="num" w:pos="1430"/>
        </w:tabs>
        <w:ind w:left="1430"/>
        <w:rPr>
          <w:b/>
        </w:rPr>
      </w:pPr>
      <w:r w:rsidRPr="000F731B">
        <w:rPr>
          <w:b/>
        </w:rPr>
        <w:t>Recognition of Prior Learning</w:t>
      </w:r>
      <w:r w:rsidRPr="00207B6F">
        <w:rPr>
          <w:b/>
        </w:rPr>
        <w:t xml:space="preserve"> </w:t>
      </w:r>
      <w:r w:rsidR="00BD3569" w:rsidRPr="00207B6F">
        <w:rPr>
          <w:b/>
        </w:rPr>
        <w:t>and Credit Transfer</w:t>
      </w:r>
    </w:p>
    <w:p w14:paraId="5ECF6A1A" w14:textId="10654C5A" w:rsidR="00066327" w:rsidRDefault="00066327" w:rsidP="00146797">
      <w:pPr>
        <w:ind w:left="1430"/>
      </w:pPr>
      <w:r w:rsidRPr="00066327">
        <w:t>Living &amp; Learning Nillumbik will charge a fee for the assessment of Recognition of Prior Learning when the assessment is requested by the learner.</w:t>
      </w:r>
    </w:p>
    <w:p w14:paraId="73DCADD4" w14:textId="22592FE6" w:rsidR="00BD3569" w:rsidRDefault="00BD3569" w:rsidP="00146797">
      <w:pPr>
        <w:ind w:left="1430"/>
      </w:pPr>
      <w:r w:rsidRPr="00BD3569">
        <w:t xml:space="preserve">Living &amp; Learning Nillumbik will charge a fee for undertaking the process of considering an application for Credit Transfer based on units or courses of study that are not listed </w:t>
      </w:r>
      <w:r>
        <w:t xml:space="preserve">on </w:t>
      </w:r>
      <w:r w:rsidRPr="004B5978">
        <w:rPr>
          <w:u w:val="single"/>
        </w:rPr>
        <w:t>training.gov.au</w:t>
      </w:r>
      <w:r>
        <w:t xml:space="preserve"> </w:t>
      </w:r>
      <w:r w:rsidRPr="00BD3569">
        <w:t>as equivalent to the destination unit.</w:t>
      </w:r>
    </w:p>
    <w:p w14:paraId="6057A6AE" w14:textId="6F854530" w:rsidR="00BD3569" w:rsidRDefault="00BD3569" w:rsidP="00146797">
      <w:pPr>
        <w:ind w:left="1430"/>
      </w:pPr>
      <w:r w:rsidRPr="00BD3569">
        <w:t>Fees for these assessment services are calculated based on the full cost for Living &amp; Learning Nillumbik to provide the service, and will be provided to the prospective candidate prior to enrolment</w:t>
      </w:r>
      <w:r w:rsidR="000B3BAD">
        <w:t>.</w:t>
      </w:r>
    </w:p>
    <w:p w14:paraId="4D2E08CB" w14:textId="3D0B0031" w:rsidR="00BD3569" w:rsidRPr="00066327" w:rsidRDefault="00BD3569" w:rsidP="00146797">
      <w:pPr>
        <w:ind w:left="1430"/>
      </w:pPr>
      <w:r>
        <w:lastRenderedPageBreak/>
        <w:t>No fee will be charged for processing applications for National Recognition</w:t>
      </w:r>
      <w:r w:rsidR="005F070A">
        <w:t xml:space="preserve">, </w:t>
      </w:r>
      <w:r>
        <w:t xml:space="preserve">or for Credit Transfer for units listed on </w:t>
      </w:r>
      <w:r w:rsidRPr="004B5978">
        <w:rPr>
          <w:u w:val="single"/>
        </w:rPr>
        <w:t>training.gov.au</w:t>
      </w:r>
      <w:r>
        <w:t xml:space="preserve"> as equivalent to the destination unit.</w:t>
      </w:r>
    </w:p>
    <w:p w14:paraId="145E6DC3" w14:textId="3EDE418B" w:rsidR="00066327" w:rsidRPr="000F731B" w:rsidRDefault="00066327" w:rsidP="00146797">
      <w:pPr>
        <w:pStyle w:val="ListContinue2"/>
        <w:tabs>
          <w:tab w:val="clear" w:pos="1435"/>
          <w:tab w:val="num" w:pos="1430"/>
        </w:tabs>
        <w:ind w:left="1430"/>
        <w:rPr>
          <w:b/>
        </w:rPr>
      </w:pPr>
      <w:r w:rsidRPr="000F731B">
        <w:rPr>
          <w:b/>
        </w:rPr>
        <w:t>Re-</w:t>
      </w:r>
      <w:r w:rsidRPr="004D067C">
        <w:rPr>
          <w:b/>
        </w:rPr>
        <w:t>assessment</w:t>
      </w:r>
      <w:r w:rsidR="00074814" w:rsidRPr="004D067C">
        <w:rPr>
          <w:b/>
        </w:rPr>
        <w:t xml:space="preserve"> and late assessment fees</w:t>
      </w:r>
    </w:p>
    <w:p w14:paraId="3C064E6E" w14:textId="53B16DA6" w:rsidR="00066327" w:rsidRPr="00066327" w:rsidRDefault="00066327" w:rsidP="00DA47B1">
      <w:pPr>
        <w:pStyle w:val="ListContinue3"/>
        <w:numPr>
          <w:ilvl w:val="0"/>
          <w:numId w:val="0"/>
        </w:numPr>
        <w:tabs>
          <w:tab w:val="num" w:pos="5966"/>
        </w:tabs>
        <w:ind w:left="1435"/>
      </w:pPr>
      <w:r w:rsidRPr="00066327">
        <w:t xml:space="preserve">Living &amp; Learning Nillumbik may charge a fee for re-assessment for a learner in a nationally recognised qualification course or unit of competency who has </w:t>
      </w:r>
      <w:r w:rsidR="00163ADF">
        <w:t xml:space="preserve">received a "not yet competent" or "withdrawn" result </w:t>
      </w:r>
      <w:r w:rsidRPr="00066327">
        <w:t xml:space="preserve">due to unsatisfactory completion of one or more assessment tasks or requirements of </w:t>
      </w:r>
      <w:r w:rsidR="00163ADF">
        <w:t xml:space="preserve">a </w:t>
      </w:r>
      <w:r w:rsidRPr="00066327">
        <w:t>unit.</w:t>
      </w:r>
      <w:r w:rsidR="00A342AC">
        <w:t xml:space="preserve">  </w:t>
      </w:r>
    </w:p>
    <w:p w14:paraId="52656EAD" w14:textId="37DFD301" w:rsidR="00163ADF" w:rsidRDefault="00163ADF" w:rsidP="00DA47B1">
      <w:pPr>
        <w:pStyle w:val="ListContinue3"/>
        <w:numPr>
          <w:ilvl w:val="0"/>
          <w:numId w:val="0"/>
        </w:numPr>
        <w:tabs>
          <w:tab w:val="num" w:pos="5966"/>
        </w:tabs>
        <w:ind w:left="1435"/>
      </w:pPr>
      <w:r>
        <w:t>A fee may also be charged for conducting or marking late assessments.</w:t>
      </w:r>
    </w:p>
    <w:p w14:paraId="6791F359" w14:textId="03E258C6" w:rsidR="00163ADF" w:rsidRPr="00066327" w:rsidRDefault="00066327" w:rsidP="00DA47B1">
      <w:pPr>
        <w:pStyle w:val="ListContinue3"/>
        <w:numPr>
          <w:ilvl w:val="0"/>
          <w:numId w:val="0"/>
        </w:numPr>
        <w:tabs>
          <w:tab w:val="num" w:pos="5966"/>
        </w:tabs>
        <w:ind w:left="1435"/>
      </w:pPr>
      <w:r w:rsidRPr="00066327">
        <w:t xml:space="preserve">Living &amp; Learning Nillumbik reserves the right to charge the re-assessment fee to learners on practical placement who cancel their assessment visit with short notice, or who do not notify the trainers that they wish to cancel the visit. </w:t>
      </w:r>
    </w:p>
    <w:p w14:paraId="7CB3B159" w14:textId="3D0D5FBF" w:rsidR="00066327" w:rsidRPr="00066327" w:rsidRDefault="00066327" w:rsidP="00DA47B1">
      <w:pPr>
        <w:pStyle w:val="ListContinue3"/>
        <w:numPr>
          <w:ilvl w:val="0"/>
          <w:numId w:val="0"/>
        </w:numPr>
        <w:ind w:left="1435"/>
      </w:pPr>
      <w:r w:rsidRPr="00066327">
        <w:t>The fee for re-assessment</w:t>
      </w:r>
      <w:r w:rsidR="00163ADF">
        <w:t xml:space="preserve"> and late assessment</w:t>
      </w:r>
      <w:r w:rsidRPr="00066327">
        <w:t xml:space="preserve"> is the hourly rate payable to the assessor as set out in the current Schedule of fees and charges.</w:t>
      </w:r>
    </w:p>
    <w:p w14:paraId="14A7B0E0" w14:textId="77777777" w:rsidR="00066327" w:rsidRPr="000F731B" w:rsidRDefault="00066327" w:rsidP="004F4F38">
      <w:pPr>
        <w:pStyle w:val="ListContinue2"/>
        <w:tabs>
          <w:tab w:val="clear" w:pos="1435"/>
          <w:tab w:val="num" w:pos="1430"/>
        </w:tabs>
        <w:ind w:left="1430"/>
        <w:rPr>
          <w:b/>
        </w:rPr>
      </w:pPr>
      <w:r w:rsidRPr="000F731B">
        <w:rPr>
          <w:b/>
        </w:rPr>
        <w:t>Replacement certificate or statement of attainment</w:t>
      </w:r>
    </w:p>
    <w:p w14:paraId="00393980" w14:textId="1BA88791" w:rsidR="00066327" w:rsidRPr="00066327" w:rsidRDefault="00066327" w:rsidP="004F4F38">
      <w:pPr>
        <w:ind w:left="1430"/>
      </w:pPr>
      <w:r w:rsidRPr="00066327">
        <w:t>Living &amp; Learning Nillumbik will charge a fee for replacing a lost or damaged Certificate</w:t>
      </w:r>
      <w:r w:rsidR="00163ADF">
        <w:t xml:space="preserve"> and/or Record of Results,</w:t>
      </w:r>
      <w:r w:rsidRPr="00066327">
        <w:t xml:space="preserve"> or Statement of Attainment.</w:t>
      </w:r>
    </w:p>
    <w:p w14:paraId="2477A343" w14:textId="7D351656" w:rsidR="00066327" w:rsidRPr="00066327" w:rsidRDefault="00066327" w:rsidP="004F4F38">
      <w:pPr>
        <w:ind w:left="1430"/>
      </w:pPr>
      <w:r w:rsidRPr="00066327">
        <w:t>The fees for a replacement Certificate</w:t>
      </w:r>
      <w:r w:rsidR="00163ADF">
        <w:t>/Record of Results</w:t>
      </w:r>
      <w:r w:rsidRPr="00066327">
        <w:t>/Statement of Attainment are set out in the current Schedule of fees and charges.</w:t>
      </w:r>
    </w:p>
    <w:p w14:paraId="615D151D" w14:textId="65B621F0" w:rsidR="000B3BAD" w:rsidRPr="000B3BAD" w:rsidRDefault="000B3BAD" w:rsidP="000B3BAD">
      <w:pPr>
        <w:pStyle w:val="ListContinue"/>
        <w:rPr>
          <w:b/>
        </w:rPr>
      </w:pPr>
      <w:r w:rsidRPr="000B3BAD">
        <w:rPr>
          <w:b/>
        </w:rPr>
        <w:t xml:space="preserve">Other fees - all courses </w:t>
      </w:r>
    </w:p>
    <w:p w14:paraId="035E315F" w14:textId="32159C39" w:rsidR="00066327" w:rsidRPr="000F731B" w:rsidRDefault="00066327" w:rsidP="004F4F38">
      <w:pPr>
        <w:pStyle w:val="ListContinue2"/>
        <w:tabs>
          <w:tab w:val="clear" w:pos="1435"/>
          <w:tab w:val="num" w:pos="1430"/>
        </w:tabs>
        <w:ind w:left="1430"/>
        <w:rPr>
          <w:b/>
        </w:rPr>
      </w:pPr>
      <w:r w:rsidRPr="000F731B">
        <w:rPr>
          <w:b/>
        </w:rPr>
        <w:t>Withdrawals</w:t>
      </w:r>
    </w:p>
    <w:p w14:paraId="4F98C707" w14:textId="435D82EB" w:rsidR="00066327" w:rsidRPr="00066327" w:rsidRDefault="00A55CB4" w:rsidP="004F4F38">
      <w:pPr>
        <w:ind w:left="1430"/>
      </w:pPr>
      <w:r>
        <w:t xml:space="preserve">When a learner withdraws </w:t>
      </w:r>
      <w:r w:rsidRPr="00066327">
        <w:t>from a course or activity</w:t>
      </w:r>
      <w:r>
        <w:t>,</w:t>
      </w:r>
      <w:r w:rsidRPr="00A55CB4">
        <w:t xml:space="preserve"> </w:t>
      </w:r>
      <w:r w:rsidR="00066327" w:rsidRPr="00066327">
        <w:t>Living &amp; Learning Nillumbik will deduct an administration fee from any refund due</w:t>
      </w:r>
      <w:r>
        <w:t>.</w:t>
      </w:r>
      <w:r w:rsidR="00066327" w:rsidRPr="00066327">
        <w:t xml:space="preserve">  Refer to the </w:t>
      </w:r>
      <w:r w:rsidR="00066327" w:rsidRPr="00DE5FFD">
        <w:rPr>
          <w:i/>
        </w:rPr>
        <w:t>Withdrawals and refunds</w:t>
      </w:r>
      <w:r w:rsidR="00066327" w:rsidRPr="00066327">
        <w:t xml:space="preserve"> section of this policy for more details.</w:t>
      </w:r>
    </w:p>
    <w:p w14:paraId="33183641" w14:textId="657B2F19" w:rsidR="00066327" w:rsidRPr="004F4F38" w:rsidRDefault="00066327" w:rsidP="000F731B">
      <w:pPr>
        <w:pStyle w:val="ListContinue"/>
        <w:rPr>
          <w:b/>
        </w:rPr>
      </w:pPr>
      <w:r w:rsidRPr="000F731B">
        <w:rPr>
          <w:b/>
        </w:rPr>
        <w:t>Payment of fees</w:t>
      </w:r>
      <w:r w:rsidR="004F4F38">
        <w:t xml:space="preserve"> </w:t>
      </w:r>
      <w:r w:rsidR="004F4F38" w:rsidRPr="004F4F38">
        <w:rPr>
          <w:b/>
        </w:rPr>
        <w:t>- nationally recognised qualification courses</w:t>
      </w:r>
    </w:p>
    <w:p w14:paraId="33FF3FAD" w14:textId="16393C97" w:rsidR="00C34B84" w:rsidRPr="00215009" w:rsidRDefault="00BC3ACB" w:rsidP="00C34B84">
      <w:pPr>
        <w:pStyle w:val="ListContinue2"/>
        <w:rPr>
          <w:b/>
        </w:rPr>
      </w:pPr>
      <w:r w:rsidRPr="00215009">
        <w:rPr>
          <w:b/>
        </w:rPr>
        <w:t>Payment arrangements</w:t>
      </w:r>
    </w:p>
    <w:p w14:paraId="4F09BCB1" w14:textId="5531626D" w:rsidR="00066327" w:rsidRPr="00066327" w:rsidRDefault="00A342AC" w:rsidP="00C34B84">
      <w:pPr>
        <w:ind w:left="1435"/>
      </w:pPr>
      <w:r>
        <w:t>The</w:t>
      </w:r>
      <w:r w:rsidRPr="00066327">
        <w:t xml:space="preserve"> </w:t>
      </w:r>
      <w:r>
        <w:t xml:space="preserve">prescribed </w:t>
      </w:r>
      <w:r w:rsidR="00066327" w:rsidRPr="00066327">
        <w:t>deposit must be paid in order to confirm enrolment in a course.</w:t>
      </w:r>
    </w:p>
    <w:p w14:paraId="1B8D1656" w14:textId="6B05BB63" w:rsidR="00BC3ACB" w:rsidRPr="00BC3ACB" w:rsidRDefault="004F4F38" w:rsidP="00BC3ACB">
      <w:pPr>
        <w:ind w:left="1435"/>
      </w:pPr>
      <w:r>
        <w:t xml:space="preserve">Where a third party </w:t>
      </w:r>
      <w:r w:rsidR="00643712">
        <w:t xml:space="preserve">such as an agency or employer </w:t>
      </w:r>
      <w:r>
        <w:t xml:space="preserve">is paying the course fees, the remaining portion of the course fee is due </w:t>
      </w:r>
      <w:r w:rsidR="00BC3ACB">
        <w:t>when the course commences</w:t>
      </w:r>
      <w:r w:rsidR="00643712">
        <w:t>, and is non-refundable</w:t>
      </w:r>
      <w:r>
        <w:t>.</w:t>
      </w:r>
    </w:p>
    <w:p w14:paraId="63DADE63" w14:textId="5C2965E7" w:rsidR="00A342AC" w:rsidRDefault="004F4F38" w:rsidP="00C34B84">
      <w:pPr>
        <w:ind w:left="1435"/>
      </w:pPr>
      <w:r>
        <w:t>Where the learner is paying the course fee</w:t>
      </w:r>
      <w:r w:rsidR="00872EAC">
        <w:t>s</w:t>
      </w:r>
      <w:r>
        <w:t xml:space="preserve">, </w:t>
      </w:r>
      <w:r w:rsidR="00872EAC">
        <w:t>t</w:t>
      </w:r>
      <w:r w:rsidR="00872EAC" w:rsidRPr="00066327">
        <w:t xml:space="preserve">he </w:t>
      </w:r>
      <w:r w:rsidR="00066327" w:rsidRPr="00066327">
        <w:t xml:space="preserve">remaining portion of the fee </w:t>
      </w:r>
      <w:r w:rsidR="005B5C2A">
        <w:t xml:space="preserve">is </w:t>
      </w:r>
      <w:r>
        <w:t xml:space="preserve">to </w:t>
      </w:r>
      <w:r w:rsidR="00066327" w:rsidRPr="00066327">
        <w:t xml:space="preserve">be paid in </w:t>
      </w:r>
      <w:r w:rsidR="00872EAC">
        <w:t xml:space="preserve">prescribed </w:t>
      </w:r>
      <w:r w:rsidR="00066327" w:rsidRPr="00066327">
        <w:t xml:space="preserve">instalments.  </w:t>
      </w:r>
    </w:p>
    <w:p w14:paraId="517E44DB" w14:textId="3B372C21" w:rsidR="00066327" w:rsidRDefault="00A342AC" w:rsidP="00C34B84">
      <w:pPr>
        <w:ind w:left="1435"/>
      </w:pPr>
      <w:r>
        <w:lastRenderedPageBreak/>
        <w:t xml:space="preserve">Deposit and instalment </w:t>
      </w:r>
      <w:r w:rsidR="00066327" w:rsidRPr="00066327">
        <w:t xml:space="preserve">amounts and due dates are set by Living &amp; Learning Nillumbik for each course, and this information will be provided to learners prior to enrolment.  </w:t>
      </w:r>
    </w:p>
    <w:p w14:paraId="13C58C6F" w14:textId="77777777" w:rsidR="00066327" w:rsidRPr="00C34B84" w:rsidRDefault="00066327" w:rsidP="00C34B84">
      <w:pPr>
        <w:pStyle w:val="ListContinue2"/>
        <w:rPr>
          <w:b/>
        </w:rPr>
      </w:pPr>
      <w:r w:rsidRPr="00C34B84">
        <w:rPr>
          <w:b/>
        </w:rPr>
        <w:t>Protection of fees</w:t>
      </w:r>
    </w:p>
    <w:p w14:paraId="1CA92B6F" w14:textId="77777777" w:rsidR="00066327" w:rsidRPr="00066327" w:rsidRDefault="00066327" w:rsidP="000F731B">
      <w:pPr>
        <w:ind w:left="1440"/>
      </w:pPr>
      <w:r w:rsidRPr="00066327">
        <w:t>All learner fees paid in advance are separately accounted for, and adequate reserves are held to allow prompt refunds where applicable.</w:t>
      </w:r>
    </w:p>
    <w:p w14:paraId="4C02D720" w14:textId="0053EE2C" w:rsidR="00066327" w:rsidRPr="00066327" w:rsidRDefault="00872EAC" w:rsidP="000F731B">
      <w:pPr>
        <w:ind w:left="1440"/>
      </w:pPr>
      <w:r>
        <w:t xml:space="preserve">In accordance with Victorian Registration and Qualifications Authority requirements, </w:t>
      </w:r>
      <w:r w:rsidR="00066327" w:rsidRPr="00066327">
        <w:t>Living &amp; Learning Nillumbik will accept payment of no more than $1,000 from each individual student prior to the commencement of the course. Following course commencement, Living &amp; Learning Nillumbik may require payment of additional fees in advance from the student, but only such that at any given time the total amount required to be paid that is attributable to tuition or other services yet to be delivered to the student does not exceed $1,500.</w:t>
      </w:r>
    </w:p>
    <w:p w14:paraId="2403BB5F" w14:textId="77777777" w:rsidR="00066327" w:rsidRPr="00C34B84" w:rsidRDefault="00066327" w:rsidP="00C34B84">
      <w:pPr>
        <w:pStyle w:val="ListContinue2"/>
        <w:rPr>
          <w:b/>
        </w:rPr>
      </w:pPr>
      <w:r w:rsidRPr="00C34B84">
        <w:rPr>
          <w:b/>
        </w:rPr>
        <w:t>Unpaid fees</w:t>
      </w:r>
    </w:p>
    <w:p w14:paraId="3E37EFB2" w14:textId="534FA80E" w:rsidR="00066327" w:rsidRPr="00066327" w:rsidRDefault="00872EAC" w:rsidP="000F731B">
      <w:pPr>
        <w:ind w:left="1440"/>
      </w:pPr>
      <w:r w:rsidRPr="00066327">
        <w:t>Qualification</w:t>
      </w:r>
      <w:r>
        <w:t xml:space="preserve"> certificates </w:t>
      </w:r>
      <w:r w:rsidR="00066327" w:rsidRPr="00066327">
        <w:t xml:space="preserve">and </w:t>
      </w:r>
      <w:r>
        <w:t>s</w:t>
      </w:r>
      <w:r w:rsidRPr="00066327">
        <w:t xml:space="preserve">tatements </w:t>
      </w:r>
      <w:r w:rsidR="00066327" w:rsidRPr="00066327">
        <w:t xml:space="preserve">of </w:t>
      </w:r>
      <w:r>
        <w:t>a</w:t>
      </w:r>
      <w:r w:rsidRPr="00066327">
        <w:t xml:space="preserve">ttainment </w:t>
      </w:r>
      <w:r w:rsidR="00066327" w:rsidRPr="00066327">
        <w:t xml:space="preserve">will not be issued until all fees have been paid for the relevant units.  Statements of attainment can only be issued for completed units where fees relating to those units have been paid in full.  </w:t>
      </w:r>
    </w:p>
    <w:p w14:paraId="02F364BF" w14:textId="4CDE6DEB" w:rsidR="00066327" w:rsidRPr="00872EAC" w:rsidRDefault="00872EAC" w:rsidP="00DA47B1">
      <w:pPr>
        <w:pStyle w:val="ListContinue"/>
        <w:rPr>
          <w:b/>
        </w:rPr>
      </w:pPr>
      <w:r w:rsidRPr="00872EAC">
        <w:rPr>
          <w:b/>
        </w:rPr>
        <w:t>Payment of fees -</w:t>
      </w:r>
      <w:r>
        <w:t xml:space="preserve"> </w:t>
      </w:r>
      <w:r w:rsidR="00066327" w:rsidRPr="00872EAC">
        <w:rPr>
          <w:b/>
        </w:rPr>
        <w:t>Short courses</w:t>
      </w:r>
      <w:r w:rsidRPr="00872EAC">
        <w:rPr>
          <w:b/>
        </w:rPr>
        <w:t>, activities and events</w:t>
      </w:r>
    </w:p>
    <w:p w14:paraId="4E6CA823" w14:textId="28D71146" w:rsidR="00066327" w:rsidRDefault="00066327" w:rsidP="000F731B">
      <w:pPr>
        <w:ind w:left="715"/>
      </w:pPr>
      <w:r w:rsidRPr="00066327">
        <w:t>Full payment is required on enrolment for short courses</w:t>
      </w:r>
      <w:r w:rsidR="00872EAC">
        <w:t>, activities and events</w:t>
      </w:r>
      <w:r w:rsidRPr="00066327">
        <w:t>.  Enrolments are processed in order of receipt of enrolment details and payment.</w:t>
      </w:r>
    </w:p>
    <w:p w14:paraId="163AF480" w14:textId="77777777" w:rsidR="00643712" w:rsidRPr="00643712" w:rsidRDefault="00643712" w:rsidP="00643712">
      <w:pPr>
        <w:ind w:left="715"/>
      </w:pPr>
      <w:r w:rsidRPr="00643712">
        <w:t>Third party organisations that have a formal relationship to pay on behalf of individual participants (for example, NDIS financial intermediaries) can secure enrolment and pay on invoice at a later date.</w:t>
      </w:r>
    </w:p>
    <w:p w14:paraId="7F9B5C92" w14:textId="401C096E" w:rsidR="0032284F" w:rsidRPr="0032284F" w:rsidRDefault="0032284F" w:rsidP="0032284F">
      <w:pPr>
        <w:ind w:left="715"/>
        <w:rPr>
          <w:lang w:val="en" w:eastAsia="en-AU"/>
        </w:rPr>
      </w:pPr>
      <w:r w:rsidRPr="0032284F">
        <w:rPr>
          <w:lang w:val="en" w:eastAsia="en-AU"/>
        </w:rPr>
        <w:t>On enrolment prior to course commencement</w:t>
      </w:r>
      <w:r w:rsidR="00C34B84">
        <w:t>,</w:t>
      </w:r>
      <w:r w:rsidRPr="0032284F">
        <w:rPr>
          <w:lang w:val="en" w:eastAsia="en-AU"/>
        </w:rPr>
        <w:t xml:space="preserve"> no reduction in fees can be made for any sessions of the course that the person may not be able to attend.</w:t>
      </w:r>
    </w:p>
    <w:p w14:paraId="26A5CB08" w14:textId="29C285A3" w:rsidR="0032284F" w:rsidRPr="00C15EB8" w:rsidRDefault="0032284F" w:rsidP="0032284F">
      <w:pPr>
        <w:ind w:left="715"/>
        <w:rPr>
          <w:lang w:val="en" w:eastAsia="en-AU"/>
        </w:rPr>
      </w:pPr>
      <w:r w:rsidRPr="0032284F">
        <w:rPr>
          <w:lang w:val="en" w:eastAsia="en-AU"/>
        </w:rPr>
        <w:t>Due to their nature, some courses may be able to accommodate additional participants after commencement and pro-rata fees may apply.</w:t>
      </w:r>
    </w:p>
    <w:p w14:paraId="397B1BC3" w14:textId="77777777" w:rsidR="00066327" w:rsidRPr="00EC5540" w:rsidRDefault="00066327" w:rsidP="00EC5540">
      <w:pPr>
        <w:pStyle w:val="ListContinue"/>
        <w:rPr>
          <w:b/>
        </w:rPr>
      </w:pPr>
      <w:r w:rsidRPr="00EC5540">
        <w:rPr>
          <w:b/>
        </w:rPr>
        <w:t>Withdrawals and refunds</w:t>
      </w:r>
    </w:p>
    <w:p w14:paraId="42E4D88A" w14:textId="5F936611" w:rsidR="00066327" w:rsidRPr="00EC5540" w:rsidRDefault="00DE0AB7" w:rsidP="00C34B84">
      <w:pPr>
        <w:pStyle w:val="ListContinue2"/>
        <w:tabs>
          <w:tab w:val="clear" w:pos="1435"/>
          <w:tab w:val="num" w:pos="1430"/>
        </w:tabs>
        <w:ind w:left="1430"/>
        <w:rPr>
          <w:b/>
        </w:rPr>
      </w:pPr>
      <w:r w:rsidRPr="00774EB4">
        <w:rPr>
          <w:b/>
        </w:rPr>
        <w:t>Withdrawals from</w:t>
      </w:r>
      <w:r>
        <w:t xml:space="preserve"> </w:t>
      </w:r>
      <w:r w:rsidRPr="00643712">
        <w:rPr>
          <w:b/>
        </w:rPr>
        <w:t>n</w:t>
      </w:r>
      <w:r w:rsidR="00066327" w:rsidRPr="00EC5540">
        <w:rPr>
          <w:b/>
        </w:rPr>
        <w:t>ationally recognised qualification courses</w:t>
      </w:r>
    </w:p>
    <w:p w14:paraId="6053F1A9" w14:textId="5FCEA8BB" w:rsidR="00066327" w:rsidRPr="00066327" w:rsidRDefault="00066327" w:rsidP="00C34B84">
      <w:pPr>
        <w:ind w:left="1430"/>
      </w:pPr>
      <w:r w:rsidRPr="00066327">
        <w:t xml:space="preserve">Learners withdrawing from a </w:t>
      </w:r>
      <w:r w:rsidR="00BC3ACB">
        <w:t xml:space="preserve">nationally recognised qualification </w:t>
      </w:r>
      <w:r w:rsidRPr="00066327">
        <w:t xml:space="preserve">course are required to complete a </w:t>
      </w:r>
      <w:r w:rsidR="00490D92" w:rsidRPr="00490D92">
        <w:rPr>
          <w:i/>
        </w:rPr>
        <w:t>VET Course Withdrawal</w:t>
      </w:r>
      <w:r w:rsidRPr="00C34B84">
        <w:rPr>
          <w:i/>
        </w:rPr>
        <w:t xml:space="preserve"> form</w:t>
      </w:r>
      <w:r w:rsidRPr="00066327">
        <w:t xml:space="preserve">.  Refund requests cannot be considered unless a </w:t>
      </w:r>
      <w:r w:rsidR="00490D92" w:rsidRPr="00490D92">
        <w:rPr>
          <w:i/>
        </w:rPr>
        <w:t>VET Course Withdrawal</w:t>
      </w:r>
      <w:r w:rsidRPr="00C34B84">
        <w:rPr>
          <w:i/>
        </w:rPr>
        <w:t xml:space="preserve"> form</w:t>
      </w:r>
      <w:r w:rsidRPr="00066327">
        <w:t xml:space="preserve"> has been </w:t>
      </w:r>
      <w:r w:rsidRPr="00066327">
        <w:lastRenderedPageBreak/>
        <w:t>completed and returned</w:t>
      </w:r>
      <w:r w:rsidR="003F56EE">
        <w:t>, and, where applicable, a</w:t>
      </w:r>
      <w:r w:rsidR="00643712">
        <w:t>n</w:t>
      </w:r>
      <w:r w:rsidR="003F56EE">
        <w:t xml:space="preserve"> </w:t>
      </w:r>
      <w:r w:rsidR="00643712" w:rsidRPr="00643712">
        <w:rPr>
          <w:i/>
        </w:rPr>
        <w:t>Application for</w:t>
      </w:r>
      <w:r w:rsidR="00643712">
        <w:t xml:space="preserve"> </w:t>
      </w:r>
      <w:r w:rsidR="003F56EE" w:rsidRPr="003F56EE">
        <w:rPr>
          <w:i/>
        </w:rPr>
        <w:t>consideration</w:t>
      </w:r>
      <w:r w:rsidR="003F56EE">
        <w:t xml:space="preserve"> </w:t>
      </w:r>
      <w:r w:rsidR="003F56EE" w:rsidRPr="00215009">
        <w:rPr>
          <w:i/>
        </w:rPr>
        <w:t>form</w:t>
      </w:r>
      <w:r w:rsidRPr="00066327">
        <w:t>.</w:t>
      </w:r>
    </w:p>
    <w:p w14:paraId="0D015B44" w14:textId="4D48AD60" w:rsidR="00066327" w:rsidRPr="00066327" w:rsidRDefault="00066327" w:rsidP="00C34B84">
      <w:pPr>
        <w:ind w:left="1430"/>
      </w:pPr>
      <w:r w:rsidRPr="00066327">
        <w:t xml:space="preserve">If </w:t>
      </w:r>
      <w:r w:rsidR="00490D92">
        <w:t>the</w:t>
      </w:r>
      <w:r w:rsidRPr="00066327">
        <w:t xml:space="preserve"> </w:t>
      </w:r>
      <w:r w:rsidR="00490D92">
        <w:t>withdrawal form</w:t>
      </w:r>
      <w:r w:rsidR="00C34B84">
        <w:t xml:space="preserve"> is received </w:t>
      </w:r>
      <w:r w:rsidR="008F4094">
        <w:t>a week</w:t>
      </w:r>
      <w:r w:rsidRPr="00066327">
        <w:t xml:space="preserve"> or more prior to the advertised commencement date of the course, learners are eligible to receive a refund of any tuition and amenities fees paid, less an administration fee (refer to the current </w:t>
      </w:r>
      <w:r w:rsidRPr="00C34B84">
        <w:rPr>
          <w:i/>
        </w:rPr>
        <w:t>Schedule of Fees and Charges</w:t>
      </w:r>
      <w:r w:rsidRPr="00066327">
        <w:t xml:space="preserve"> for the applicable fee).  </w:t>
      </w:r>
    </w:p>
    <w:p w14:paraId="7284C881" w14:textId="50D93E81" w:rsidR="00066327" w:rsidRPr="00066327" w:rsidRDefault="00066327" w:rsidP="00C34B84">
      <w:pPr>
        <w:ind w:left="1430"/>
      </w:pPr>
      <w:r w:rsidRPr="00066327">
        <w:t xml:space="preserve">Fees for materials will be refunded except where materials have already been purchased by Living &amp; Learning Nillumbik on behalf of the learner.  Materials already purchased will be supplied to the learner on request.  </w:t>
      </w:r>
    </w:p>
    <w:p w14:paraId="67E2FA22" w14:textId="6648003E" w:rsidR="00066327" w:rsidRPr="00066327" w:rsidRDefault="00066327" w:rsidP="00C34B84">
      <w:pPr>
        <w:ind w:left="1430"/>
      </w:pPr>
      <w:r w:rsidRPr="00066327">
        <w:t xml:space="preserve">No refunds are available if </w:t>
      </w:r>
      <w:r w:rsidR="00490D92">
        <w:t xml:space="preserve">the withdrawal form </w:t>
      </w:r>
      <w:r w:rsidRPr="00066327">
        <w:t xml:space="preserve">is received less than </w:t>
      </w:r>
      <w:r w:rsidR="008F4094">
        <w:t>a week</w:t>
      </w:r>
      <w:r w:rsidRPr="00066327">
        <w:t xml:space="preserve"> prior to the advertised commencement date of the course.  </w:t>
      </w:r>
      <w:r w:rsidR="00B243F6">
        <w:t xml:space="preserve">In cases of significant hardship, learners may apply for a refund </w:t>
      </w:r>
      <w:r w:rsidR="008F4094">
        <w:t>through special consideration (see clause 8)</w:t>
      </w:r>
      <w:r w:rsidR="00B243F6">
        <w:t xml:space="preserve">. </w:t>
      </w:r>
    </w:p>
    <w:p w14:paraId="1364541B" w14:textId="78ED7864" w:rsidR="00E3218A" w:rsidRPr="00E3218A" w:rsidRDefault="00E3218A" w:rsidP="00E3218A">
      <w:pPr>
        <w:ind w:left="1430"/>
      </w:pPr>
      <w:r>
        <w:t xml:space="preserve">Learners are required to pay all </w:t>
      </w:r>
      <w:r w:rsidRPr="00E3218A">
        <w:t xml:space="preserve">fee instalments </w:t>
      </w:r>
      <w:r>
        <w:t xml:space="preserve">that are </w:t>
      </w:r>
      <w:r w:rsidRPr="00E3218A">
        <w:t xml:space="preserve">due </w:t>
      </w:r>
      <w:r>
        <w:t>up until the date Livi</w:t>
      </w:r>
      <w:r w:rsidR="004D067C">
        <w:t>ng &amp; Learning Nillumbik receives</w:t>
      </w:r>
      <w:r>
        <w:t xml:space="preserve"> the completed </w:t>
      </w:r>
      <w:r w:rsidRPr="00E3218A">
        <w:rPr>
          <w:i/>
        </w:rPr>
        <w:t xml:space="preserve">VET Course Withdrawal form.  </w:t>
      </w:r>
      <w:r>
        <w:t>A statement of attainment for any units of competency successfully achieved will only be issued once all fees relating to those units have been paid.</w:t>
      </w:r>
    </w:p>
    <w:p w14:paraId="3326548D" w14:textId="0BA6F031" w:rsidR="00066327" w:rsidRPr="003A58E8" w:rsidRDefault="00DE0AB7" w:rsidP="00C34B84">
      <w:pPr>
        <w:pStyle w:val="ListContinue2"/>
        <w:tabs>
          <w:tab w:val="clear" w:pos="1435"/>
          <w:tab w:val="num" w:pos="1430"/>
        </w:tabs>
        <w:ind w:left="1430"/>
        <w:rPr>
          <w:b/>
        </w:rPr>
      </w:pPr>
      <w:r w:rsidRPr="00774EB4">
        <w:rPr>
          <w:b/>
        </w:rPr>
        <w:t xml:space="preserve">Withdrawals </w:t>
      </w:r>
      <w:r w:rsidRPr="003A004F">
        <w:rPr>
          <w:b/>
        </w:rPr>
        <w:t xml:space="preserve">from </w:t>
      </w:r>
      <w:r w:rsidR="003A004F" w:rsidRPr="003A004F">
        <w:rPr>
          <w:b/>
        </w:rPr>
        <w:t>s</w:t>
      </w:r>
      <w:r w:rsidR="00066327" w:rsidRPr="003A004F">
        <w:rPr>
          <w:b/>
        </w:rPr>
        <w:t xml:space="preserve">hort </w:t>
      </w:r>
      <w:r w:rsidR="003A004F" w:rsidRPr="003A004F">
        <w:rPr>
          <w:b/>
        </w:rPr>
        <w:t>courses</w:t>
      </w:r>
    </w:p>
    <w:p w14:paraId="6086625D" w14:textId="47404689" w:rsidR="00066327" w:rsidRPr="00066327" w:rsidRDefault="00066327" w:rsidP="00C34B84">
      <w:pPr>
        <w:ind w:left="1430"/>
      </w:pPr>
      <w:r w:rsidRPr="00066327">
        <w:t xml:space="preserve">If withdrawing </w:t>
      </w:r>
      <w:r w:rsidR="008F4094">
        <w:t>a week</w:t>
      </w:r>
      <w:r w:rsidRPr="00066327">
        <w:t xml:space="preserve"> or more prior to the advertised commencement date of the course, individuals may: </w:t>
      </w:r>
    </w:p>
    <w:p w14:paraId="1E786C05" w14:textId="6A133DED" w:rsidR="00066327" w:rsidRPr="00066327" w:rsidRDefault="00066327" w:rsidP="003A58E8">
      <w:pPr>
        <w:pStyle w:val="ListBullet2"/>
        <w:ind w:left="1803"/>
      </w:pPr>
      <w:r w:rsidRPr="00066327">
        <w:t>request a refund of co</w:t>
      </w:r>
      <w:r w:rsidR="008F4094">
        <w:t>urse fees less a</w:t>
      </w:r>
      <w:r w:rsidR="0012669A">
        <w:t>n administration</w:t>
      </w:r>
      <w:r w:rsidR="008F4094">
        <w:t xml:space="preserve"> fee</w:t>
      </w:r>
      <w:r w:rsidR="008F4094">
        <w:rPr>
          <w:rStyle w:val="FootnoteReference"/>
        </w:rPr>
        <w:footnoteReference w:id="4"/>
      </w:r>
      <w:r w:rsidRPr="00066327">
        <w:t xml:space="preserve"> and less any materials costs already incurred</w:t>
      </w:r>
      <w:r w:rsidR="008F4094">
        <w:rPr>
          <w:rStyle w:val="FootnoteReference"/>
        </w:rPr>
        <w:footnoteReference w:id="5"/>
      </w:r>
    </w:p>
    <w:p w14:paraId="0CD4B451" w14:textId="77777777" w:rsidR="00066327" w:rsidRPr="00066327" w:rsidRDefault="00066327" w:rsidP="003A58E8">
      <w:pPr>
        <w:ind w:left="1803"/>
      </w:pPr>
      <w:r w:rsidRPr="00066327">
        <w:t>OR</w:t>
      </w:r>
    </w:p>
    <w:p w14:paraId="57163941" w14:textId="13CA95CF" w:rsidR="00066327" w:rsidRPr="00066327" w:rsidRDefault="00066327" w:rsidP="003A58E8">
      <w:pPr>
        <w:pStyle w:val="ListBullet2"/>
        <w:ind w:left="1803"/>
      </w:pPr>
      <w:r w:rsidRPr="00066327">
        <w:t>transfer their course fees (less any materials costs already incurred) to a new enrolment in another course</w:t>
      </w:r>
      <w:r w:rsidR="007508DE">
        <w:t xml:space="preserve"> within three months</w:t>
      </w:r>
      <w:r w:rsidRPr="00066327">
        <w:t xml:space="preserve">.  </w:t>
      </w:r>
      <w:r w:rsidR="007508DE">
        <w:t>If the transfer option is not taken up within three months a refund less the administration fee is available.</w:t>
      </w:r>
    </w:p>
    <w:p w14:paraId="42438ACD" w14:textId="563A80C6" w:rsidR="0032284F" w:rsidRDefault="00C15EB8" w:rsidP="00C34B84">
      <w:pPr>
        <w:ind w:left="1440"/>
      </w:pPr>
      <w:r w:rsidRPr="00C15EB8">
        <w:lastRenderedPageBreak/>
        <w:t>If notice of withdrawal is received less than a week before the start of the course</w:t>
      </w:r>
      <w:r w:rsidR="0007781D">
        <w:t>,</w:t>
      </w:r>
      <w:r w:rsidRPr="00C15EB8">
        <w:t xml:space="preserve"> or during the course</w:t>
      </w:r>
      <w:r w:rsidR="003A004F">
        <w:t>,</w:t>
      </w:r>
      <w:r w:rsidRPr="00C15EB8">
        <w:t xml:space="preserve"> no refunds are available</w:t>
      </w:r>
      <w:r w:rsidR="00C965E4">
        <w:t>.</w:t>
      </w:r>
      <w:r w:rsidR="007508DE">
        <w:t xml:space="preserve"> Participants can apply for consideration in relation to fees - see section 8.</w:t>
      </w:r>
    </w:p>
    <w:p w14:paraId="476A60FE" w14:textId="77777777" w:rsidR="00066327" w:rsidRPr="003A58E8" w:rsidRDefault="00066327" w:rsidP="00C34B84">
      <w:pPr>
        <w:pStyle w:val="ListContinue2"/>
        <w:tabs>
          <w:tab w:val="clear" w:pos="1435"/>
          <w:tab w:val="num" w:pos="1430"/>
        </w:tabs>
        <w:ind w:left="1430"/>
        <w:rPr>
          <w:b/>
        </w:rPr>
      </w:pPr>
      <w:r w:rsidRPr="003A58E8">
        <w:rPr>
          <w:b/>
        </w:rPr>
        <w:t>Courses cancelled by Living &amp; Learning Nillumbik</w:t>
      </w:r>
    </w:p>
    <w:p w14:paraId="5717D547" w14:textId="77777777" w:rsidR="00066327" w:rsidRPr="00066327" w:rsidRDefault="00066327" w:rsidP="00C34B84">
      <w:pPr>
        <w:ind w:left="1430"/>
      </w:pPr>
      <w:r w:rsidRPr="00066327">
        <w:t xml:space="preserve">If a course is cancelled by Living &amp; Learning Nillumbik prior to commencement of the course, all fees paid will be refunded in full.  </w:t>
      </w:r>
    </w:p>
    <w:p w14:paraId="5358485A" w14:textId="45BDC400" w:rsidR="00066327" w:rsidRDefault="00066327" w:rsidP="00C34B84">
      <w:pPr>
        <w:ind w:left="1430"/>
      </w:pPr>
      <w:r w:rsidRPr="00066327">
        <w:t>If a course is cancelled by Living &amp; Learning Nillumbik at any time during the period of a person’s enrolment then Living &amp; Learning Nillumbik will refund the pro-rata portion of any tuition, amenities and materials fees paid, as well as any other fees for goods and services that have not been used prio</w:t>
      </w:r>
      <w:r w:rsidR="00477CBD">
        <w:t>r to the date of cancellation.</w:t>
      </w:r>
    </w:p>
    <w:p w14:paraId="2D466924" w14:textId="77777777" w:rsidR="00643712" w:rsidRPr="00643712" w:rsidRDefault="00643712" w:rsidP="00643712">
      <w:pPr>
        <w:pStyle w:val="ListContinue2"/>
        <w:rPr>
          <w:b/>
        </w:rPr>
      </w:pPr>
      <w:r w:rsidRPr="00643712">
        <w:rPr>
          <w:b/>
        </w:rPr>
        <w:t>Refunds / Credit notes</w:t>
      </w:r>
    </w:p>
    <w:p w14:paraId="013C656B" w14:textId="77777777" w:rsidR="00643712" w:rsidRPr="00643712" w:rsidRDefault="00643712" w:rsidP="00643712">
      <w:pPr>
        <w:ind w:left="1435"/>
      </w:pPr>
      <w:r w:rsidRPr="00643712">
        <w:t>Refunds / credit notes will only be paid / issued to the person enrolled unless:</w:t>
      </w:r>
    </w:p>
    <w:p w14:paraId="050B7D76" w14:textId="77777777" w:rsidR="00643712" w:rsidRPr="00643712" w:rsidRDefault="00643712" w:rsidP="00643712">
      <w:pPr>
        <w:pStyle w:val="ListBullet2"/>
        <w:ind w:left="1803"/>
      </w:pPr>
      <w:r w:rsidRPr="00643712">
        <w:t>The person enrolled is under 18, in which case the refund will be paid to the parent or guardian of the person enrolled, or</w:t>
      </w:r>
    </w:p>
    <w:p w14:paraId="0055CC9B" w14:textId="587469F6" w:rsidR="00643712" w:rsidRPr="00643712" w:rsidRDefault="00643712" w:rsidP="00643712">
      <w:pPr>
        <w:pStyle w:val="ListBullet2"/>
        <w:ind w:left="1803"/>
        <w:rPr>
          <w:b/>
        </w:rPr>
      </w:pPr>
      <w:r w:rsidRPr="00643712">
        <w:t>The payment has been made by arrangement through a third party organisation e.g. an employer, NDIS.</w:t>
      </w:r>
    </w:p>
    <w:p w14:paraId="7CDC8460" w14:textId="026473D2" w:rsidR="00066327" w:rsidRPr="003A58E8" w:rsidRDefault="00477CBD" w:rsidP="003A58E8">
      <w:pPr>
        <w:pStyle w:val="ListContinue"/>
        <w:rPr>
          <w:b/>
        </w:rPr>
      </w:pPr>
      <w:r>
        <w:rPr>
          <w:b/>
        </w:rPr>
        <w:t>Special consideration</w:t>
      </w:r>
    </w:p>
    <w:p w14:paraId="6500449A" w14:textId="0D48F9B5" w:rsidR="00562080" w:rsidRPr="00562080" w:rsidRDefault="00562080" w:rsidP="00EA4D51">
      <w:pPr>
        <w:ind w:left="720"/>
      </w:pPr>
      <w:r w:rsidRPr="00562080">
        <w:t xml:space="preserve">Living &amp; Learning Nillumbik is committed to fairness and supports participation by all members of the community.  Learners may apply for special consideration </w:t>
      </w:r>
      <w:r w:rsidR="00A53AED">
        <w:t>in relation to fees and charges</w:t>
      </w:r>
      <w:r w:rsidRPr="00562080">
        <w:t xml:space="preserve"> if they are experiencing genuine, significant hardship.</w:t>
      </w:r>
    </w:p>
    <w:p w14:paraId="5C55ED61" w14:textId="05480A91" w:rsidR="00562080" w:rsidRDefault="00562080" w:rsidP="00EA4D51">
      <w:pPr>
        <w:pStyle w:val="ListContinue2"/>
      </w:pPr>
      <w:r w:rsidRPr="00562080">
        <w:t>The policy and application information must be available to the general public on the Living &amp; Learning Nillumbik website.</w:t>
      </w:r>
    </w:p>
    <w:p w14:paraId="27E2D35B" w14:textId="030D97B4" w:rsidR="00562080" w:rsidRDefault="00562080" w:rsidP="00EA4D51">
      <w:pPr>
        <w:pStyle w:val="ListContinue2"/>
      </w:pPr>
      <w:r w:rsidRPr="00562080">
        <w:t>Participants must complete a</w:t>
      </w:r>
      <w:r w:rsidR="002D34AE">
        <w:t>n</w:t>
      </w:r>
      <w:r w:rsidRPr="00562080">
        <w:t xml:space="preserve"> </w:t>
      </w:r>
      <w:r w:rsidRPr="00A53AED">
        <w:rPr>
          <w:i/>
        </w:rPr>
        <w:t xml:space="preserve">Application </w:t>
      </w:r>
      <w:r w:rsidR="002D34AE" w:rsidRPr="002D34AE">
        <w:rPr>
          <w:i/>
        </w:rPr>
        <w:t>for Consideration</w:t>
      </w:r>
      <w:r w:rsidR="002D34AE">
        <w:t xml:space="preserve"> </w:t>
      </w:r>
      <w:r w:rsidR="002D34AE" w:rsidRPr="002D34AE">
        <w:rPr>
          <w:i/>
        </w:rPr>
        <w:t>form</w:t>
      </w:r>
      <w:r w:rsidR="002D34AE" w:rsidRPr="00562080">
        <w:t xml:space="preserve"> </w:t>
      </w:r>
      <w:r w:rsidRPr="00562080">
        <w:t>and provide supporting documentation and evidence (e.g. medical certificate) where applicable.</w:t>
      </w:r>
    </w:p>
    <w:p w14:paraId="00591CCE" w14:textId="73155A84" w:rsidR="00562080" w:rsidRPr="00EA4D51" w:rsidRDefault="00EA4D51" w:rsidP="00EA4D51">
      <w:pPr>
        <w:pStyle w:val="ListContinue2"/>
      </w:pPr>
      <w:r w:rsidRPr="00EA4D51">
        <w:t>Where appropriate, a staff member may complete a</w:t>
      </w:r>
      <w:r w:rsidR="002D34AE">
        <w:t>n</w:t>
      </w:r>
      <w:r w:rsidRPr="00EA4D51">
        <w:t xml:space="preserve"> application </w:t>
      </w:r>
      <w:r w:rsidR="002D34AE">
        <w:t xml:space="preserve">for consideration </w:t>
      </w:r>
      <w:r w:rsidRPr="00EA4D51">
        <w:t>on behalf of a participant.</w:t>
      </w:r>
    </w:p>
    <w:p w14:paraId="3FCD3CC5" w14:textId="6FF17A13" w:rsidR="00562080" w:rsidRDefault="00562080" w:rsidP="00EA4D51">
      <w:pPr>
        <w:pStyle w:val="ListContinue2"/>
      </w:pPr>
      <w:r w:rsidRPr="00562080">
        <w:t xml:space="preserve">An application </w:t>
      </w:r>
      <w:r w:rsidR="00A53AED">
        <w:t>must</w:t>
      </w:r>
      <w:r w:rsidRPr="00562080">
        <w:t xml:space="preserve"> be received within </w:t>
      </w:r>
      <w:r w:rsidR="00A53AED">
        <w:t>one</w:t>
      </w:r>
      <w:r w:rsidRPr="00562080">
        <w:t xml:space="preserve"> month of the </w:t>
      </w:r>
      <w:r w:rsidR="00A53AED">
        <w:t>finish date of the course or activity (unless</w:t>
      </w:r>
      <w:r w:rsidRPr="00562080">
        <w:t xml:space="preserve"> extenuating circumstances apply</w:t>
      </w:r>
      <w:r w:rsidR="00A53AED">
        <w:t>)</w:t>
      </w:r>
      <w:r w:rsidRPr="00562080">
        <w:t>.</w:t>
      </w:r>
    </w:p>
    <w:p w14:paraId="20C844C4" w14:textId="7F372CBD" w:rsidR="00562080" w:rsidRDefault="00562080" w:rsidP="00EA4D51">
      <w:pPr>
        <w:pStyle w:val="ListContinue2"/>
      </w:pPr>
      <w:r w:rsidRPr="00562080">
        <w:t>The same applicant may apply for special consideration more than once in a calendar year.</w:t>
      </w:r>
    </w:p>
    <w:p w14:paraId="13D03A06" w14:textId="3615F6B5" w:rsidR="00562080" w:rsidRDefault="00562080" w:rsidP="00EA4D51">
      <w:pPr>
        <w:pStyle w:val="ListContinue2"/>
      </w:pPr>
      <w:r w:rsidRPr="00562080">
        <w:lastRenderedPageBreak/>
        <w:t>If an application is received before the start date of the course</w:t>
      </w:r>
      <w:r w:rsidR="008F3F9D">
        <w:t>,</w:t>
      </w:r>
      <w:r w:rsidRPr="00562080">
        <w:t xml:space="preserve"> the process must be finalised before the participant can start the activity.</w:t>
      </w:r>
    </w:p>
    <w:p w14:paraId="4CDDAD19" w14:textId="07730B41" w:rsidR="00562080" w:rsidRDefault="00562080" w:rsidP="00EA4D51">
      <w:pPr>
        <w:pStyle w:val="ListContinue2"/>
      </w:pPr>
      <w:r w:rsidRPr="00562080">
        <w:t xml:space="preserve">Costs for materials already </w:t>
      </w:r>
      <w:r w:rsidR="008F3F9D">
        <w:t>purchased</w:t>
      </w:r>
      <w:r w:rsidRPr="00562080">
        <w:t xml:space="preserve"> on behalf of the participant will not be refunded.  </w:t>
      </w:r>
      <w:r w:rsidR="008F3F9D">
        <w:t>The materials will be supplied to the participant wherever</w:t>
      </w:r>
      <w:r w:rsidRPr="00562080">
        <w:t xml:space="preserve"> possible.</w:t>
      </w:r>
    </w:p>
    <w:p w14:paraId="489BDBFE" w14:textId="77777777" w:rsidR="008F3F9D" w:rsidRDefault="00562080" w:rsidP="00EA4D51">
      <w:pPr>
        <w:pStyle w:val="ListContinue2"/>
      </w:pPr>
      <w:r w:rsidRPr="00562080">
        <w:t>Application outcomes may include</w:t>
      </w:r>
      <w:r w:rsidR="008F3F9D">
        <w:t>:</w:t>
      </w:r>
    </w:p>
    <w:p w14:paraId="485A8438" w14:textId="5F3B3ADC" w:rsidR="008F3F9D" w:rsidRDefault="008F3F9D" w:rsidP="008F3F9D">
      <w:pPr>
        <w:pStyle w:val="ListBullet2"/>
        <w:ind w:left="1798"/>
      </w:pPr>
      <w:r>
        <w:t xml:space="preserve">implementing a </w:t>
      </w:r>
      <w:r w:rsidR="00562080" w:rsidRPr="00562080">
        <w:t xml:space="preserve">payment plan, </w:t>
      </w:r>
    </w:p>
    <w:p w14:paraId="391494C5" w14:textId="7E4DF5D1" w:rsidR="008F3F9D" w:rsidRDefault="00562080" w:rsidP="008F3F9D">
      <w:pPr>
        <w:pStyle w:val="ListBullet2"/>
        <w:ind w:left="1798"/>
      </w:pPr>
      <w:r w:rsidRPr="00562080">
        <w:t>pro-rata fee</w:t>
      </w:r>
      <w:r w:rsidR="008F3F9D">
        <w:t>s</w:t>
      </w:r>
      <w:r w:rsidRPr="00562080">
        <w:t xml:space="preserve">, </w:t>
      </w:r>
    </w:p>
    <w:p w14:paraId="70525B5C" w14:textId="2469B0CD" w:rsidR="00836DBB" w:rsidRDefault="00836DBB" w:rsidP="008F3F9D">
      <w:pPr>
        <w:pStyle w:val="ListBullet2"/>
        <w:ind w:left="1798"/>
      </w:pPr>
      <w:r>
        <w:t>a credit note,</w:t>
      </w:r>
    </w:p>
    <w:p w14:paraId="3B72C3B5" w14:textId="0FDC4259" w:rsidR="008F3F9D" w:rsidRDefault="008F3F9D" w:rsidP="008F3F9D">
      <w:pPr>
        <w:pStyle w:val="ListBullet2"/>
        <w:ind w:left="1798"/>
      </w:pPr>
      <w:r>
        <w:t xml:space="preserve">a full or partial </w:t>
      </w:r>
      <w:r w:rsidR="00562080" w:rsidRPr="00562080">
        <w:t xml:space="preserve">refund, </w:t>
      </w:r>
    </w:p>
    <w:p w14:paraId="375DCA8B" w14:textId="71E19F20" w:rsidR="00836DBB" w:rsidRDefault="00836DBB" w:rsidP="008F3F9D">
      <w:pPr>
        <w:pStyle w:val="ListBullet2"/>
        <w:ind w:left="1798"/>
      </w:pPr>
      <w:r>
        <w:t>transfer to another course,</w:t>
      </w:r>
    </w:p>
    <w:p w14:paraId="0EED412D" w14:textId="20366726" w:rsidR="00562080" w:rsidRDefault="00562080" w:rsidP="008F3F9D">
      <w:pPr>
        <w:pStyle w:val="ListBullet2"/>
        <w:ind w:left="1798"/>
      </w:pPr>
      <w:r w:rsidRPr="00562080">
        <w:t xml:space="preserve">subsidising or waiving of </w:t>
      </w:r>
      <w:r w:rsidR="008F3F9D">
        <w:t xml:space="preserve">a </w:t>
      </w:r>
      <w:r w:rsidRPr="00562080">
        <w:t>fee</w:t>
      </w:r>
      <w:r>
        <w:t>.</w:t>
      </w:r>
    </w:p>
    <w:p w14:paraId="572B1C23" w14:textId="79265002" w:rsidR="00562080" w:rsidRDefault="00562080" w:rsidP="00EA4D51">
      <w:pPr>
        <w:pStyle w:val="ListContinue2"/>
      </w:pPr>
      <w:r w:rsidRPr="00562080">
        <w:t>Applications are subject to approval by the Living &amp; Learning Nillumbik Coordinator.</w:t>
      </w:r>
    </w:p>
    <w:p w14:paraId="7E5A1090" w14:textId="175BDB82" w:rsidR="00562080" w:rsidRDefault="00562080" w:rsidP="00EA4D51">
      <w:pPr>
        <w:pStyle w:val="ListContinue2"/>
      </w:pPr>
      <w:r w:rsidRPr="00562080">
        <w:t>The capacity to approve applications may be limited by budget constraints.</w:t>
      </w:r>
    </w:p>
    <w:p w14:paraId="175F75F3" w14:textId="43FDEBD1" w:rsidR="00562080" w:rsidRDefault="00562080" w:rsidP="00EA4D51">
      <w:pPr>
        <w:pStyle w:val="ListContinue2"/>
      </w:pPr>
      <w:r w:rsidRPr="00562080">
        <w:t>Information about applications and their outcomes must be recorded according to the Special Consideration procedure.</w:t>
      </w:r>
    </w:p>
    <w:p w14:paraId="267B4DEB" w14:textId="3B9EFBA9" w:rsidR="00800811" w:rsidRDefault="00800811" w:rsidP="007508DE">
      <w:pPr>
        <w:ind w:left="720"/>
      </w:pPr>
      <w:r>
        <w:t xml:space="preserve">Program Coordinators can </w:t>
      </w:r>
      <w:r w:rsidR="00400051">
        <w:t>recommend</w:t>
      </w:r>
      <w:r>
        <w:t xml:space="preserve"> </w:t>
      </w:r>
      <w:r w:rsidR="00400051">
        <w:t xml:space="preserve">other </w:t>
      </w:r>
      <w:r>
        <w:t xml:space="preserve">discretionary </w:t>
      </w:r>
      <w:r w:rsidR="00400051">
        <w:t>outcomes for approval by the Program Team</w:t>
      </w:r>
      <w:r w:rsidR="007508DE">
        <w:t xml:space="preserve"> upon receipt of the </w:t>
      </w:r>
      <w:r w:rsidR="007508DE" w:rsidRPr="007508DE">
        <w:rPr>
          <w:i/>
        </w:rPr>
        <w:t>Application for Consideration form</w:t>
      </w:r>
      <w:r w:rsidR="007508DE">
        <w:t>.</w:t>
      </w:r>
      <w:bookmarkStart w:id="0" w:name="_GoBack"/>
      <w:bookmarkEnd w:id="0"/>
    </w:p>
    <w:p w14:paraId="570A4EE9" w14:textId="77777777" w:rsidR="00066327" w:rsidRPr="003A58E8" w:rsidRDefault="00066327" w:rsidP="003A58E8">
      <w:pPr>
        <w:pStyle w:val="ListContinue"/>
        <w:rPr>
          <w:b/>
        </w:rPr>
      </w:pPr>
      <w:r w:rsidRPr="003A58E8">
        <w:rPr>
          <w:b/>
        </w:rPr>
        <w:t>Responsibilities</w:t>
      </w:r>
    </w:p>
    <w:p w14:paraId="41822C18" w14:textId="73770341" w:rsidR="00066327" w:rsidRPr="00066327" w:rsidRDefault="00724898" w:rsidP="003A58E8">
      <w:pPr>
        <w:ind w:left="720"/>
      </w:pPr>
      <w:r>
        <w:t>The Living &amp; Learning Nillumbik Coordinator</w:t>
      </w:r>
      <w:r w:rsidR="00066327" w:rsidRPr="00066327">
        <w:t xml:space="preserve"> </w:t>
      </w:r>
      <w:r w:rsidR="00C34B84">
        <w:t xml:space="preserve">is </w:t>
      </w:r>
      <w:r w:rsidR="00066327" w:rsidRPr="00066327">
        <w:t>responsible for ensuring that:</w:t>
      </w:r>
    </w:p>
    <w:p w14:paraId="6DAA3FAB" w14:textId="7DE5CA7B" w:rsidR="00066327" w:rsidRPr="00066327" w:rsidRDefault="00F2072C" w:rsidP="003A58E8">
      <w:pPr>
        <w:pStyle w:val="ListBullet"/>
        <w:ind w:left="1440"/>
      </w:pPr>
      <w:r>
        <w:t>F</w:t>
      </w:r>
      <w:r w:rsidR="00066327" w:rsidRPr="00066327">
        <w:t>ees and charges for learners are calculated, charged and collected in accordance with this policy; and</w:t>
      </w:r>
    </w:p>
    <w:p w14:paraId="375985A6" w14:textId="562D9E31" w:rsidR="00066327" w:rsidRPr="00066327" w:rsidRDefault="00F2072C" w:rsidP="003A58E8">
      <w:pPr>
        <w:pStyle w:val="ListBullet"/>
        <w:ind w:left="1440"/>
      </w:pPr>
      <w:r>
        <w:t>T</w:t>
      </w:r>
      <w:r w:rsidR="00066327" w:rsidRPr="00066327">
        <w:t>his policy is updated in a timely manner in response to changes to government policy, funding and regulatory requirements.</w:t>
      </w:r>
    </w:p>
    <w:p w14:paraId="0068F4D2" w14:textId="77777777" w:rsidR="00066327" w:rsidRPr="00066327" w:rsidRDefault="00066327" w:rsidP="003A58E8">
      <w:pPr>
        <w:ind w:left="720"/>
      </w:pPr>
      <w:r w:rsidRPr="00066327">
        <w:t>The relevant Program Coordinator is responsible for ensuring that all prospective learners have an understanding of and access to this policy prior to enrolment.</w:t>
      </w:r>
    </w:p>
    <w:p w14:paraId="5584C2A7" w14:textId="77777777" w:rsidR="00066327" w:rsidRPr="00066327" w:rsidRDefault="00066327" w:rsidP="003A58E8">
      <w:pPr>
        <w:ind w:left="720"/>
      </w:pPr>
      <w:r w:rsidRPr="00066327">
        <w:t>The Administration Officers at each Centre are responsible for ensuring that copies of this policy are accessible to volunteer and work placement office assistants, and members of the public.</w:t>
      </w:r>
    </w:p>
    <w:p w14:paraId="612C5A82" w14:textId="77777777" w:rsidR="00066327" w:rsidRPr="00066327" w:rsidRDefault="00066327" w:rsidP="003A58E8">
      <w:pPr>
        <w:pStyle w:val="Heading1"/>
        <w:numPr>
          <w:ilvl w:val="0"/>
          <w:numId w:val="0"/>
        </w:numPr>
        <w:ind w:left="720" w:hanging="720"/>
      </w:pPr>
      <w:r w:rsidRPr="00066327">
        <w:lastRenderedPageBreak/>
        <w:t>Related Documents</w:t>
      </w:r>
    </w:p>
    <w:p w14:paraId="4153F280" w14:textId="53755A1F" w:rsidR="003A58E8" w:rsidRDefault="006B5095" w:rsidP="003A58E8">
      <w:r>
        <w:t xml:space="preserve">2016 </w:t>
      </w:r>
      <w:r w:rsidR="00066327" w:rsidRPr="00066327">
        <w:t>VR</w:t>
      </w:r>
      <w:r w:rsidR="003A58E8">
        <w:t>QA Guidelines for VET Providers</w:t>
      </w:r>
    </w:p>
    <w:p w14:paraId="6EFEFD4B" w14:textId="4C8AEDC5" w:rsidR="00066327" w:rsidRPr="00066327" w:rsidRDefault="00066327" w:rsidP="003A58E8">
      <w:r w:rsidRPr="00066327">
        <w:t>AQTF 2010 Essential Standards for Continuing Registration</w:t>
      </w:r>
    </w:p>
    <w:p w14:paraId="51BA4241" w14:textId="77777777" w:rsidR="003A58E8" w:rsidRDefault="00066327" w:rsidP="003A58E8">
      <w:r w:rsidRPr="00066327">
        <w:t>ACFE Board Purchasi</w:t>
      </w:r>
      <w:r w:rsidR="003A58E8">
        <w:t>ng Package</w:t>
      </w:r>
    </w:p>
    <w:p w14:paraId="27EE7863" w14:textId="718C9951" w:rsidR="00066327" w:rsidRDefault="00066327" w:rsidP="003A58E8">
      <w:r w:rsidRPr="00066327">
        <w:t>ACFE Board Activity Schedule</w:t>
      </w:r>
    </w:p>
    <w:p w14:paraId="09184EAC" w14:textId="3024D4B8" w:rsidR="00E61D6D" w:rsidRPr="00066327" w:rsidRDefault="00E61D6D" w:rsidP="003A58E8">
      <w:r>
        <w:t>TA19 Credit Transfer and RPL Policy</w:t>
      </w:r>
    </w:p>
    <w:p w14:paraId="570E7898" w14:textId="77777777" w:rsidR="004C2E78" w:rsidRPr="0048583D" w:rsidRDefault="004C2E78" w:rsidP="006326B8">
      <w:pPr>
        <w:pStyle w:val="Heading5"/>
      </w:pPr>
      <w:r w:rsidRPr="0048583D">
        <w:t>Related procedures, forms and documents</w:t>
      </w:r>
    </w:p>
    <w:p w14:paraId="215DE6BD" w14:textId="77777777" w:rsidR="003A58E8" w:rsidRPr="00066327" w:rsidRDefault="003A58E8" w:rsidP="003A58E8">
      <w:r w:rsidRPr="00066327">
        <w:t>Payment plan form</w:t>
      </w:r>
    </w:p>
    <w:p w14:paraId="2A6993C3" w14:textId="77777777" w:rsidR="003A58E8" w:rsidRPr="00066327" w:rsidRDefault="003A58E8" w:rsidP="003A58E8">
      <w:r w:rsidRPr="00066327">
        <w:t>Payment plan terms and conditions</w:t>
      </w:r>
    </w:p>
    <w:p w14:paraId="2F567509" w14:textId="77777777" w:rsidR="003A58E8" w:rsidRPr="00066327" w:rsidRDefault="003A58E8" w:rsidP="003A58E8">
      <w:r w:rsidRPr="00066327">
        <w:t>Schedule of fees and charges</w:t>
      </w:r>
    </w:p>
    <w:p w14:paraId="25659D56" w14:textId="7BFCEA36" w:rsidR="000E07B4" w:rsidRDefault="002D34AE" w:rsidP="003A58E8">
      <w:r>
        <w:t>Application for consideration</w:t>
      </w:r>
      <w:r w:rsidR="000E07B4">
        <w:t xml:space="preserve"> form</w:t>
      </w:r>
    </w:p>
    <w:p w14:paraId="22D4A1E7" w14:textId="55142BAA" w:rsidR="003A58E8" w:rsidRDefault="00490D92" w:rsidP="003A58E8">
      <w:r>
        <w:t>VET Course Withdrawal form</w:t>
      </w:r>
    </w:p>
    <w:p w14:paraId="04727235" w14:textId="77777777" w:rsidR="00EB4981" w:rsidRPr="00066327" w:rsidRDefault="00EB4981" w:rsidP="003A58E8"/>
    <w:p w14:paraId="7D6A340E" w14:textId="77777777" w:rsidR="004C2E78" w:rsidRPr="0048583D" w:rsidRDefault="004C2E78" w:rsidP="006326B8">
      <w:pPr>
        <w:pStyle w:val="Heading5"/>
      </w:pPr>
      <w:r w:rsidRPr="0048583D">
        <w:t>Document details</w:t>
      </w:r>
    </w:p>
    <w:tbl>
      <w:tblPr>
        <w:tblStyle w:val="CustomTable"/>
        <w:tblW w:w="9786" w:type="dxa"/>
        <w:tblLook w:val="04A0" w:firstRow="1" w:lastRow="0" w:firstColumn="1" w:lastColumn="0" w:noHBand="0" w:noVBand="1"/>
        <w:tblCaption w:val="2015 Fee schedule"/>
        <w:tblDescription w:val="A table showing the differnet fee types and a break down by tuition, amenity and materials."/>
      </w:tblPr>
      <w:tblGrid>
        <w:gridCol w:w="2132"/>
        <w:gridCol w:w="7654"/>
      </w:tblGrid>
      <w:tr w:rsidR="0048583D" w14:paraId="4CD07BF1" w14:textId="77777777" w:rsidTr="00485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6E5BEB74" w14:textId="77777777" w:rsidR="0048583D" w:rsidRPr="0048583D" w:rsidRDefault="0048583D" w:rsidP="0048583D">
            <w:r w:rsidRPr="004C2E78">
              <w:t xml:space="preserve">Document no. &amp; </w:t>
            </w:r>
            <w:r w:rsidRPr="0048583D">
              <w:t>Name:</w:t>
            </w:r>
          </w:p>
        </w:tc>
        <w:tc>
          <w:tcPr>
            <w:tcW w:w="7654" w:type="dxa"/>
          </w:tcPr>
          <w:p w14:paraId="5764B068" w14:textId="77777777" w:rsidR="0048583D" w:rsidRPr="0048583D" w:rsidRDefault="00FA3091" w:rsidP="0048583D">
            <w:pPr>
              <w:cnfStyle w:val="100000000000" w:firstRow="1" w:lastRow="0" w:firstColumn="0" w:lastColumn="0" w:oddVBand="0" w:evenVBand="0" w:oddHBand="0" w:evenHBand="0" w:firstRowFirstColumn="0" w:firstRowLastColumn="0" w:lastRowFirstColumn="0" w:lastRowLastColumn="0"/>
            </w:pPr>
            <w:r>
              <w:rPr>
                <w:noProof/>
              </w:rPr>
              <w:fldChar w:fldCharType="begin"/>
            </w:r>
            <w:r>
              <w:rPr>
                <w:b w:val="0"/>
                <w:noProof/>
              </w:rPr>
              <w:instrText xml:space="preserve"> FILENAME  \* FirstCap  \* MERGEFORMAT </w:instrText>
            </w:r>
            <w:r>
              <w:rPr>
                <w:b w:val="0"/>
                <w:noProof/>
              </w:rPr>
              <w:fldChar w:fldCharType="separate"/>
            </w:r>
            <w:r w:rsidR="00CC3BA7">
              <w:rPr>
                <w:noProof/>
              </w:rPr>
              <w:t>SM25 - Fees charges and refunds policy v5</w:t>
            </w:r>
            <w:r>
              <w:rPr>
                <w:noProof/>
              </w:rPr>
              <w:fldChar w:fldCharType="end"/>
            </w:r>
          </w:p>
        </w:tc>
      </w:tr>
      <w:tr w:rsidR="0048583D" w14:paraId="43AEBE6D"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752FB78C" w14:textId="77777777" w:rsidR="0048583D" w:rsidRPr="0048583D" w:rsidRDefault="0048583D" w:rsidP="0048583D">
            <w:r w:rsidRPr="004C2E78">
              <w:t>Quality Area:</w:t>
            </w:r>
          </w:p>
        </w:tc>
        <w:tc>
          <w:tcPr>
            <w:tcW w:w="7654" w:type="dxa"/>
          </w:tcPr>
          <w:p w14:paraId="42A15E62" w14:textId="19DAC54E" w:rsidR="0048583D" w:rsidRPr="0048583D" w:rsidRDefault="001E6666" w:rsidP="0048583D">
            <w:pPr>
              <w:cnfStyle w:val="000000000000" w:firstRow="0" w:lastRow="0" w:firstColumn="0" w:lastColumn="0" w:oddVBand="0" w:evenVBand="0" w:oddHBand="0" w:evenHBand="0" w:firstRowFirstColumn="0" w:firstRowLastColumn="0" w:lastRowFirstColumn="0" w:lastRowLastColumn="0"/>
            </w:pPr>
            <w:r>
              <w:t>Student Management</w:t>
            </w:r>
          </w:p>
        </w:tc>
      </w:tr>
      <w:tr w:rsidR="0048583D" w14:paraId="1B68995D"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21CC39DC" w14:textId="77777777" w:rsidR="0048583D" w:rsidRPr="0048583D" w:rsidRDefault="0048583D" w:rsidP="0048583D">
            <w:r w:rsidRPr="004C2E78">
              <w:t>Responsibility:</w:t>
            </w:r>
          </w:p>
        </w:tc>
        <w:tc>
          <w:tcPr>
            <w:tcW w:w="7654" w:type="dxa"/>
          </w:tcPr>
          <w:p w14:paraId="32D473BB" w14:textId="77777777" w:rsidR="0048583D" w:rsidRPr="0048583D" w:rsidRDefault="0048583D" w:rsidP="0048583D">
            <w:pPr>
              <w:cnfStyle w:val="000000010000" w:firstRow="0" w:lastRow="0" w:firstColumn="0" w:lastColumn="0" w:oddVBand="0" w:evenVBand="0" w:oddHBand="0" w:evenHBand="1" w:firstRowFirstColumn="0" w:firstRowLastColumn="0" w:lastRowFirstColumn="0" w:lastRowLastColumn="0"/>
            </w:pPr>
            <w:r w:rsidRPr="004C2E78">
              <w:t>L</w:t>
            </w:r>
            <w:r w:rsidRPr="0048583D">
              <w:t>&amp;LN Coordinator</w:t>
            </w:r>
          </w:p>
        </w:tc>
      </w:tr>
      <w:tr w:rsidR="0048583D" w14:paraId="1059192D"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16D042C1" w14:textId="77777777" w:rsidR="0048583D" w:rsidRPr="0048583D" w:rsidRDefault="0048583D" w:rsidP="0048583D">
            <w:r w:rsidRPr="004C2E78">
              <w:t>Author:</w:t>
            </w:r>
          </w:p>
        </w:tc>
        <w:tc>
          <w:tcPr>
            <w:tcW w:w="7654" w:type="dxa"/>
          </w:tcPr>
          <w:p w14:paraId="4E9DA1E8" w14:textId="78D0110E" w:rsidR="0048583D" w:rsidRPr="0048583D" w:rsidRDefault="001846DB" w:rsidP="0048583D">
            <w:pPr>
              <w:cnfStyle w:val="000000000000" w:firstRow="0" w:lastRow="0" w:firstColumn="0" w:lastColumn="0" w:oddVBand="0" w:evenVBand="0" w:oddHBand="0" w:evenHBand="0" w:firstRowFirstColumn="0" w:firstRowLastColumn="0" w:lastRowFirstColumn="0" w:lastRowLastColumn="0"/>
            </w:pPr>
            <w:r w:rsidRPr="001846DB">
              <w:t>Living &amp; Learning Nillumbik</w:t>
            </w:r>
          </w:p>
        </w:tc>
      </w:tr>
      <w:tr w:rsidR="0048583D" w14:paraId="3DE7D5EF"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4527894C" w14:textId="77777777" w:rsidR="0048583D" w:rsidRPr="0048583D" w:rsidRDefault="0048583D" w:rsidP="0048583D">
            <w:r w:rsidRPr="004C2E78">
              <w:t>Status:</w:t>
            </w:r>
          </w:p>
        </w:tc>
        <w:tc>
          <w:tcPr>
            <w:tcW w:w="7654" w:type="dxa"/>
          </w:tcPr>
          <w:p w14:paraId="18CAFA0F" w14:textId="33735C08" w:rsidR="0048583D" w:rsidRPr="0048583D" w:rsidRDefault="00A30323" w:rsidP="002D5397">
            <w:pPr>
              <w:cnfStyle w:val="000000010000" w:firstRow="0" w:lastRow="0" w:firstColumn="0" w:lastColumn="0" w:oddVBand="0" w:evenVBand="0" w:oddHBand="0" w:evenHBand="1" w:firstRowFirstColumn="0" w:firstRowLastColumn="0" w:lastRowFirstColumn="0" w:lastRowLastColumn="0"/>
            </w:pPr>
            <w:r>
              <w:t>APPROVED</w:t>
            </w:r>
          </w:p>
        </w:tc>
      </w:tr>
      <w:tr w:rsidR="0048583D" w14:paraId="758F5A42"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02070C6B" w14:textId="77777777" w:rsidR="0048583D" w:rsidRPr="0048583D" w:rsidRDefault="0048583D" w:rsidP="0048583D">
            <w:r w:rsidRPr="004C2E78">
              <w:t>Version:</w:t>
            </w:r>
          </w:p>
        </w:tc>
        <w:tc>
          <w:tcPr>
            <w:tcW w:w="7654" w:type="dxa"/>
          </w:tcPr>
          <w:p w14:paraId="63740922" w14:textId="30ED485B" w:rsidR="0048583D" w:rsidRPr="0048583D" w:rsidRDefault="00CC3BA7" w:rsidP="0048583D">
            <w:pPr>
              <w:cnfStyle w:val="000000000000" w:firstRow="0" w:lastRow="0" w:firstColumn="0" w:lastColumn="0" w:oddVBand="0" w:evenVBand="0" w:oddHBand="0" w:evenHBand="0" w:firstRowFirstColumn="0" w:firstRowLastColumn="0" w:lastRowFirstColumn="0" w:lastRowLastColumn="0"/>
            </w:pPr>
            <w:r>
              <w:t>v5</w:t>
            </w:r>
          </w:p>
        </w:tc>
      </w:tr>
      <w:tr w:rsidR="0048583D" w14:paraId="147112C2"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17867EF4" w14:textId="77777777" w:rsidR="0048583D" w:rsidRPr="0048583D" w:rsidRDefault="0048583D" w:rsidP="0048583D">
            <w:r w:rsidRPr="004C2E78">
              <w:t>Approved By:</w:t>
            </w:r>
          </w:p>
        </w:tc>
        <w:tc>
          <w:tcPr>
            <w:tcW w:w="7654" w:type="dxa"/>
          </w:tcPr>
          <w:p w14:paraId="1DC11C8D" w14:textId="77777777" w:rsidR="0048583D" w:rsidRPr="0048583D" w:rsidRDefault="0048583D" w:rsidP="0048583D">
            <w:pPr>
              <w:cnfStyle w:val="000000010000" w:firstRow="0" w:lastRow="0" w:firstColumn="0" w:lastColumn="0" w:oddVBand="0" w:evenVBand="0" w:oddHBand="0" w:evenHBand="1" w:firstRowFirstColumn="0" w:firstRowLastColumn="0" w:lastRowFirstColumn="0" w:lastRowLastColumn="0"/>
            </w:pPr>
            <w:r w:rsidRPr="004C2E78">
              <w:t>L</w:t>
            </w:r>
            <w:r w:rsidRPr="0048583D">
              <w:t>&amp;LN Committee</w:t>
            </w:r>
          </w:p>
        </w:tc>
      </w:tr>
      <w:tr w:rsidR="0048583D" w14:paraId="174E97F7"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50E96588" w14:textId="77777777" w:rsidR="0048583D" w:rsidRPr="0048583D" w:rsidRDefault="0048583D" w:rsidP="0048583D">
            <w:r w:rsidRPr="004C2E78">
              <w:t>Approval Date:</w:t>
            </w:r>
          </w:p>
        </w:tc>
        <w:tc>
          <w:tcPr>
            <w:tcW w:w="7654" w:type="dxa"/>
          </w:tcPr>
          <w:p w14:paraId="24E8F012" w14:textId="735D76F7" w:rsidR="0048583D" w:rsidRPr="004C2E78" w:rsidRDefault="00CC3BA7" w:rsidP="00CC3BA7">
            <w:pPr>
              <w:cnfStyle w:val="000000000000" w:firstRow="0" w:lastRow="0" w:firstColumn="0" w:lastColumn="0" w:oddVBand="0" w:evenVBand="0" w:oddHBand="0" w:evenHBand="0" w:firstRowFirstColumn="0" w:firstRowLastColumn="0" w:lastRowFirstColumn="0" w:lastRowLastColumn="0"/>
            </w:pPr>
            <w:r>
              <w:t>24 October 2018</w:t>
            </w:r>
          </w:p>
        </w:tc>
      </w:tr>
      <w:tr w:rsidR="0048583D" w14:paraId="5AF56EF3"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3D28A5C3" w14:textId="77777777" w:rsidR="0048583D" w:rsidRPr="0048583D" w:rsidRDefault="0048583D" w:rsidP="0048583D">
            <w:r w:rsidRPr="004C2E78">
              <w:t>Review Date:</w:t>
            </w:r>
          </w:p>
        </w:tc>
        <w:tc>
          <w:tcPr>
            <w:tcW w:w="7654" w:type="dxa"/>
          </w:tcPr>
          <w:p w14:paraId="5B6C0B2C" w14:textId="1FF24207" w:rsidR="0048583D" w:rsidRPr="0048583D" w:rsidRDefault="00CC3BA7" w:rsidP="0048583D">
            <w:pPr>
              <w:cnfStyle w:val="000000010000" w:firstRow="0" w:lastRow="0" w:firstColumn="0" w:lastColumn="0" w:oddVBand="0" w:evenVBand="0" w:oddHBand="0" w:evenHBand="1" w:firstRowFirstColumn="0" w:firstRowLastColumn="0" w:lastRowFirstColumn="0" w:lastRowLastColumn="0"/>
            </w:pPr>
            <w:r>
              <w:t>October 2021</w:t>
            </w:r>
          </w:p>
        </w:tc>
      </w:tr>
    </w:tbl>
    <w:p w14:paraId="494547CF" w14:textId="77777777" w:rsidR="005822FD" w:rsidRPr="0048583D" w:rsidRDefault="005822FD" w:rsidP="0048583D">
      <w:pPr>
        <w:rPr>
          <w:b/>
          <w:sz w:val="20"/>
        </w:rPr>
      </w:pPr>
    </w:p>
    <w:sectPr w:rsidR="005822FD" w:rsidRPr="0048583D" w:rsidSect="00DC5900">
      <w:headerReference w:type="default" r:id="rId15"/>
      <w:footerReference w:type="default" r:id="rId16"/>
      <w:footnotePr>
        <w:numFmt w:val="chicago"/>
      </w:footnotePr>
      <w:pgSz w:w="11906" w:h="16838" w:code="9"/>
      <w:pgMar w:top="1701"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A18A9" w14:textId="77777777" w:rsidR="00AA0FF7" w:rsidRPr="000D4EDE" w:rsidRDefault="00AA0FF7" w:rsidP="000D4EDE">
      <w:r>
        <w:separator/>
      </w:r>
    </w:p>
  </w:endnote>
  <w:endnote w:type="continuationSeparator" w:id="0">
    <w:p w14:paraId="5E2845D8" w14:textId="77777777" w:rsidR="00AA0FF7" w:rsidRPr="000D4EDE" w:rsidRDefault="00AA0FF7"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CFB5" w14:textId="310E44EE" w:rsidR="00637EFB" w:rsidRPr="00371E1C" w:rsidRDefault="00637EFB" w:rsidP="00371E1C">
    <w:pPr>
      <w:pBdr>
        <w:top w:val="single" w:sz="4" w:space="1" w:color="auto"/>
      </w:pBdr>
      <w:jc w:val="right"/>
      <w:rPr>
        <w:sz w:val="20"/>
      </w:rPr>
    </w:pPr>
    <w:r w:rsidRPr="00371E1C">
      <w:rPr>
        <w:sz w:val="20"/>
      </w:rPr>
      <w:t xml:space="preserve">Page </w:t>
    </w:r>
    <w:r w:rsidRPr="00371E1C">
      <w:rPr>
        <w:sz w:val="20"/>
      </w:rPr>
      <w:fldChar w:fldCharType="begin"/>
    </w:r>
    <w:r w:rsidRPr="00371E1C">
      <w:rPr>
        <w:sz w:val="20"/>
      </w:rPr>
      <w:instrText xml:space="preserve"> PAGE   \* MERGEFORMAT </w:instrText>
    </w:r>
    <w:r w:rsidRPr="00371E1C">
      <w:rPr>
        <w:sz w:val="20"/>
      </w:rPr>
      <w:fldChar w:fldCharType="separate"/>
    </w:r>
    <w:r w:rsidR="00FA3091">
      <w:rPr>
        <w:noProof/>
        <w:sz w:val="20"/>
      </w:rPr>
      <w:t>1</w:t>
    </w:r>
    <w:r w:rsidRPr="00371E1C">
      <w:rPr>
        <w:sz w:val="20"/>
      </w:rPr>
      <w:fldChar w:fldCharType="end"/>
    </w:r>
  </w:p>
  <w:p w14:paraId="13CE2EB2" w14:textId="77777777" w:rsidR="00637EFB" w:rsidRPr="00371E1C" w:rsidRDefault="00637EFB" w:rsidP="00371E1C">
    <w:pPr>
      <w:jc w:val="right"/>
      <w:rPr>
        <w:b/>
        <w:sz w:val="18"/>
      </w:rPr>
    </w:pPr>
    <w:r w:rsidRPr="00371E1C">
      <w:rPr>
        <w:b/>
        <w:sz w:val="18"/>
      </w:rPr>
      <w:t>Nillumbik Shire Council trading as Living &amp; Learning Nillumbik - Registered Training Organisation No. 3989</w:t>
    </w:r>
  </w:p>
  <w:p w14:paraId="67E21144" w14:textId="77777777" w:rsidR="00637EFB" w:rsidRPr="00371E1C" w:rsidRDefault="00637EFB" w:rsidP="00371E1C">
    <w:pPr>
      <w:jc w:val="right"/>
      <w:rPr>
        <w:sz w:val="18"/>
      </w:rPr>
    </w:pPr>
    <w:r w:rsidRPr="00371E1C">
      <w:rPr>
        <w:sz w:val="18"/>
      </w:rPr>
      <w:t>739 Main Road Eltham 3095 - Phone: 9433 3744 - Email: living.learning@nillumbik.vic.gov.au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1B0B6" w14:textId="77777777" w:rsidR="00AA0FF7" w:rsidRPr="000D4EDE" w:rsidRDefault="00AA0FF7" w:rsidP="000D4EDE">
      <w:r>
        <w:separator/>
      </w:r>
    </w:p>
  </w:footnote>
  <w:footnote w:type="continuationSeparator" w:id="0">
    <w:p w14:paraId="6B70612E" w14:textId="77777777" w:rsidR="00AA0FF7" w:rsidRPr="000D4EDE" w:rsidRDefault="00AA0FF7" w:rsidP="000D4EDE">
      <w:r>
        <w:continuationSeparator/>
      </w:r>
    </w:p>
  </w:footnote>
  <w:footnote w:id="1">
    <w:p w14:paraId="2249B73C" w14:textId="77777777" w:rsidR="00BD3569" w:rsidRDefault="00BD3569" w:rsidP="00BD3569">
      <w:r>
        <w:rPr>
          <w:rStyle w:val="FootnoteReference"/>
        </w:rPr>
        <w:footnoteRef/>
      </w:r>
      <w:r>
        <w:t xml:space="preserve"> </w:t>
      </w:r>
      <w:r w:rsidRPr="006B6BD2">
        <w:rPr>
          <w:i/>
          <w:sz w:val="20"/>
        </w:rPr>
        <w:t>Users’ Guide to the Essential Conditions and Standards for Continuing Registration, Australian Quality Training Framework</w:t>
      </w:r>
      <w:r w:rsidRPr="006B6BD2">
        <w:rPr>
          <w:sz w:val="20"/>
        </w:rPr>
        <w:t>, Commonwealth of Australia, 2010</w:t>
      </w:r>
    </w:p>
  </w:footnote>
  <w:footnote w:id="2">
    <w:p w14:paraId="019C44FF" w14:textId="77777777" w:rsidR="00BD3569" w:rsidRDefault="00BD3569" w:rsidP="00BD3569">
      <w:pPr>
        <w:pStyle w:val="FootnoteText"/>
      </w:pPr>
      <w:r>
        <w:rPr>
          <w:rStyle w:val="FootnoteReference"/>
        </w:rPr>
        <w:footnoteRef/>
      </w:r>
      <w:r>
        <w:t xml:space="preserve"> Ibid.</w:t>
      </w:r>
    </w:p>
  </w:footnote>
  <w:footnote w:id="3">
    <w:p w14:paraId="77588936" w14:textId="77777777" w:rsidR="00BD3569" w:rsidRDefault="00BD3569" w:rsidP="00BD3569">
      <w:pPr>
        <w:pStyle w:val="FootnoteText"/>
      </w:pPr>
      <w:r>
        <w:rPr>
          <w:rStyle w:val="FootnoteReference"/>
        </w:rPr>
        <w:footnoteRef/>
      </w:r>
      <w:r>
        <w:t xml:space="preserve"> </w:t>
      </w:r>
      <w:r w:rsidRPr="006B6BD2">
        <w:rPr>
          <w:i/>
        </w:rPr>
        <w:t>AVETMISS Data element definitions, Edition 2.3.</w:t>
      </w:r>
      <w:r>
        <w:t xml:space="preserve"> National Centre for Vocational Education Research, 2016 (updated May 2018).  </w:t>
      </w:r>
    </w:p>
  </w:footnote>
  <w:footnote w:id="4">
    <w:p w14:paraId="465D8724" w14:textId="4CB70508" w:rsidR="008F4094" w:rsidRPr="008F4094" w:rsidRDefault="008F4094" w:rsidP="008F4094">
      <w:r w:rsidRPr="008F4094">
        <w:rPr>
          <w:rStyle w:val="FootnoteReference"/>
        </w:rPr>
        <w:footnoteRef/>
      </w:r>
      <w:r w:rsidRPr="008F4094">
        <w:t xml:space="preserve"> See the current Schedule of fees and charges for more information</w:t>
      </w:r>
    </w:p>
  </w:footnote>
  <w:footnote w:id="5">
    <w:p w14:paraId="60CF4B91" w14:textId="05B558F9" w:rsidR="008F4094" w:rsidRPr="008F4094" w:rsidRDefault="008F4094">
      <w:pPr>
        <w:pStyle w:val="FootnoteText"/>
        <w:rPr>
          <w:sz w:val="24"/>
        </w:rPr>
      </w:pPr>
      <w:r w:rsidRPr="008F4094">
        <w:rPr>
          <w:rStyle w:val="FootnoteReference"/>
          <w:sz w:val="24"/>
        </w:rPr>
        <w:footnoteRef/>
      </w:r>
      <w:r w:rsidRPr="008F4094">
        <w:rPr>
          <w:sz w:val="24"/>
        </w:rPr>
        <w:t xml:space="preserve"> Materials fees can only be reimbursed if Living &amp; Learning Nillumbik, or the tutor, has not already incurred a cost.  Where materials have already been purchased by Living &amp; Learning Nillumbik or the tutor, these will be supplied to the individual wherever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D471E" w14:textId="77777777" w:rsidR="00637EFB" w:rsidRDefault="00637EFB" w:rsidP="00FF6F40">
    <w:pPr>
      <w:pStyle w:val="Header"/>
    </w:pPr>
    <w:r w:rsidRPr="00BD7DF2">
      <w:rPr>
        <w:noProof/>
        <w:lang w:eastAsia="en-AU"/>
      </w:rPr>
      <w:drawing>
        <wp:inline distT="0" distB="0" distL="0" distR="0" wp14:anchorId="182F6D20" wp14:editId="6E7A2F1A">
          <wp:extent cx="1918004" cy="595223"/>
          <wp:effectExtent l="0" t="0" r="6350" b="0"/>
          <wp:docPr id="1" name="Picture 1" title="Living &amp; Learning Nillumb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LN Green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734" cy="597932"/>
                  </a:xfrm>
                  <a:prstGeom prst="rect">
                    <a:avLst/>
                  </a:prstGeom>
                </pic:spPr>
              </pic:pic>
            </a:graphicData>
          </a:graphic>
        </wp:inline>
      </w:drawing>
    </w:r>
  </w:p>
  <w:p w14:paraId="157DF7D5" w14:textId="77777777" w:rsidR="00637EFB" w:rsidRDefault="00637EFB" w:rsidP="00FF6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4711ADE"/>
    <w:multiLevelType w:val="hybridMultilevel"/>
    <w:tmpl w:val="E59639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677E96"/>
    <w:multiLevelType w:val="hybridMultilevel"/>
    <w:tmpl w:val="27EAA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7430F"/>
    <w:multiLevelType w:val="multilevel"/>
    <w:tmpl w:val="9E129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F003DC"/>
    <w:multiLevelType w:val="multilevel"/>
    <w:tmpl w:val="932A2FB8"/>
    <w:lvl w:ilvl="0">
      <w:start w:val="1"/>
      <w:numFmt w:val="decimal"/>
      <w:pStyle w:val="ListContinue"/>
      <w:lvlText w:val="%1"/>
      <w:lvlJc w:val="left"/>
      <w:pPr>
        <w:tabs>
          <w:tab w:val="num" w:pos="720"/>
        </w:tabs>
        <w:ind w:left="720" w:hanging="720"/>
      </w:pPr>
      <w:rPr>
        <w:rFonts w:hint="default"/>
      </w:rPr>
    </w:lvl>
    <w:lvl w:ilvl="1">
      <w:start w:val="1"/>
      <w:numFmt w:val="decimal"/>
      <w:pStyle w:val="ListContinue2"/>
      <w:lvlText w:val="%1.%2"/>
      <w:lvlJc w:val="left"/>
      <w:pPr>
        <w:tabs>
          <w:tab w:val="num" w:pos="1435"/>
        </w:tabs>
        <w:ind w:left="1435" w:hanging="715"/>
      </w:pPr>
      <w:rPr>
        <w:rFonts w:hint="default"/>
      </w:rPr>
    </w:lvl>
    <w:lvl w:ilvl="2">
      <w:start w:val="1"/>
      <w:numFmt w:val="decimal"/>
      <w:pStyle w:val="ListContinue3"/>
      <w:lvlText w:val="%1.%2.%3"/>
      <w:lvlJc w:val="left"/>
      <w:pPr>
        <w:tabs>
          <w:tab w:val="num" w:pos="5966"/>
        </w:tabs>
        <w:ind w:left="5966" w:hanging="72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6D621B2"/>
    <w:multiLevelType w:val="multilevel"/>
    <w:tmpl w:val="A410733E"/>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15:restartNumberingAfterBreak="0">
    <w:nsid w:val="293503A2"/>
    <w:multiLevelType w:val="multilevel"/>
    <w:tmpl w:val="062C21BA"/>
    <w:lvl w:ilvl="0">
      <w:start w:val="8"/>
      <w:numFmt w:val="decimal"/>
      <w:lvlText w:val="%1"/>
      <w:lvlJc w:val="left"/>
      <w:pPr>
        <w:ind w:left="720" w:hanging="360"/>
      </w:pPr>
    </w:lvl>
    <w:lvl w:ilvl="1">
      <w:start w:val="10"/>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1" w15:restartNumberingAfterBreak="0">
    <w:nsid w:val="2A385FCC"/>
    <w:multiLevelType w:val="multilevel"/>
    <w:tmpl w:val="CDF2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FAC1C77"/>
    <w:multiLevelType w:val="multilevel"/>
    <w:tmpl w:val="F46ED864"/>
    <w:lvl w:ilvl="0">
      <w:start w:val="3"/>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4" w15:restartNumberingAfterBreak="0">
    <w:nsid w:val="30EA48B8"/>
    <w:multiLevelType w:val="multilevel"/>
    <w:tmpl w:val="700CEAE0"/>
    <w:lvl w:ilvl="0">
      <w:start w:val="1"/>
      <w:numFmt w:val="decimal"/>
      <w:lvlText w:val="%1."/>
      <w:lvlJc w:val="left"/>
      <w:pPr>
        <w:tabs>
          <w:tab w:val="num" w:pos="720"/>
        </w:tabs>
        <w:ind w:left="1080" w:hanging="360"/>
      </w:pPr>
      <w:rPr>
        <w:rFonts w:hint="default"/>
      </w:rPr>
    </w:lvl>
    <w:lvl w:ilvl="1">
      <w:start w:val="1"/>
      <w:numFmt w:val="decimal"/>
      <w:lvlText w:val="%1.%2."/>
      <w:lvlJc w:val="left"/>
      <w:pPr>
        <w:tabs>
          <w:tab w:val="num" w:pos="1004"/>
        </w:tabs>
        <w:ind w:left="1457" w:hanging="453"/>
      </w:pPr>
      <w:rPr>
        <w:rFonts w:hint="default"/>
      </w:rPr>
    </w:lvl>
    <w:lvl w:ilvl="2">
      <w:start w:val="1"/>
      <w:numFmt w:val="decimal"/>
      <w:lvlText w:val="%1.%2.%3."/>
      <w:lvlJc w:val="left"/>
      <w:pPr>
        <w:tabs>
          <w:tab w:val="num" w:pos="3600"/>
        </w:tabs>
        <w:ind w:left="1944" w:hanging="504"/>
      </w:pPr>
      <w:rPr>
        <w:rFonts w:hint="default"/>
      </w:rPr>
    </w:lvl>
    <w:lvl w:ilvl="3">
      <w:start w:val="1"/>
      <w:numFmt w:val="decimal"/>
      <w:lvlText w:val="%1.%2.%3.%4."/>
      <w:lvlJc w:val="left"/>
      <w:pPr>
        <w:tabs>
          <w:tab w:val="num" w:pos="4680"/>
        </w:tabs>
        <w:ind w:left="2448" w:hanging="648"/>
      </w:pPr>
      <w:rPr>
        <w:rFonts w:hint="default"/>
      </w:rPr>
    </w:lvl>
    <w:lvl w:ilvl="4">
      <w:start w:val="1"/>
      <w:numFmt w:val="decimal"/>
      <w:lvlText w:val="%1.%2.%3.%4.%5."/>
      <w:lvlJc w:val="left"/>
      <w:pPr>
        <w:tabs>
          <w:tab w:val="num" w:pos="5760"/>
        </w:tabs>
        <w:ind w:left="2952" w:hanging="792"/>
      </w:pPr>
      <w:rPr>
        <w:rFonts w:hint="default"/>
      </w:rPr>
    </w:lvl>
    <w:lvl w:ilvl="5">
      <w:start w:val="1"/>
      <w:numFmt w:val="decimal"/>
      <w:lvlText w:val="%1.%2.%3.%4.%5.%6."/>
      <w:lvlJc w:val="left"/>
      <w:pPr>
        <w:tabs>
          <w:tab w:val="num" w:pos="6840"/>
        </w:tabs>
        <w:ind w:left="3456" w:hanging="936"/>
      </w:pPr>
      <w:rPr>
        <w:rFonts w:hint="default"/>
      </w:rPr>
    </w:lvl>
    <w:lvl w:ilvl="6">
      <w:start w:val="1"/>
      <w:numFmt w:val="decimal"/>
      <w:lvlText w:val="%1.%2.%3.%4.%5.%6.%7."/>
      <w:lvlJc w:val="left"/>
      <w:pPr>
        <w:tabs>
          <w:tab w:val="num" w:pos="7920"/>
        </w:tabs>
        <w:ind w:left="3960" w:hanging="1080"/>
      </w:pPr>
      <w:rPr>
        <w:rFonts w:hint="default"/>
      </w:rPr>
    </w:lvl>
    <w:lvl w:ilvl="7">
      <w:start w:val="1"/>
      <w:numFmt w:val="decimal"/>
      <w:lvlText w:val="%1.%2.%3.%4.%5.%6.%7.%8."/>
      <w:lvlJc w:val="left"/>
      <w:pPr>
        <w:tabs>
          <w:tab w:val="num" w:pos="9000"/>
        </w:tabs>
        <w:ind w:left="4464" w:hanging="1224"/>
      </w:pPr>
      <w:rPr>
        <w:rFonts w:hint="default"/>
      </w:rPr>
    </w:lvl>
    <w:lvl w:ilvl="8">
      <w:start w:val="1"/>
      <w:numFmt w:val="decimal"/>
      <w:lvlText w:val="%1.%2.%3.%4.%5.%6.%7.%8.%9."/>
      <w:lvlJc w:val="left"/>
      <w:pPr>
        <w:tabs>
          <w:tab w:val="num" w:pos="10080"/>
        </w:tabs>
        <w:ind w:left="5040" w:hanging="1440"/>
      </w:pPr>
      <w:rPr>
        <w:rFonts w:hint="default"/>
      </w:rPr>
    </w:lvl>
  </w:abstractNum>
  <w:abstractNum w:abstractNumId="15" w15:restartNumberingAfterBreak="0">
    <w:nsid w:val="3A7F69BD"/>
    <w:multiLevelType w:val="multilevel"/>
    <w:tmpl w:val="B98CDB18"/>
    <w:styleLink w:val="ListLevel"/>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D63395C"/>
    <w:multiLevelType w:val="multilevel"/>
    <w:tmpl w:val="6B96D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5130E3"/>
    <w:multiLevelType w:val="hybridMultilevel"/>
    <w:tmpl w:val="78167DD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43F148C1"/>
    <w:multiLevelType w:val="multilevel"/>
    <w:tmpl w:val="30A0F66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Arial" w:hAnsi="Arial" w:hint="default"/>
      </w:rPr>
    </w:lvl>
    <w:lvl w:ilvl="3">
      <w:start w:val="1"/>
      <w:numFmt w:val="bullet"/>
      <w:pStyle w:val="ListBullet4"/>
      <w:lvlText w:val=""/>
      <w:lvlJc w:val="left"/>
      <w:pPr>
        <w:ind w:left="1435" w:hanging="358"/>
      </w:pPr>
      <w:rPr>
        <w:rFonts w:ascii="Wingdings" w:hAnsi="Wingdings" w:hint="default"/>
        <w:color w:val="auto"/>
      </w:rPr>
    </w:lvl>
    <w:lvl w:ilvl="4">
      <w:start w:val="1"/>
      <w:numFmt w:val="none"/>
      <w:pStyle w:val="Notes"/>
      <w:suff w:val="spac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4D0256D"/>
    <w:multiLevelType w:val="hybridMultilevel"/>
    <w:tmpl w:val="22DCDA1A"/>
    <w:lvl w:ilvl="0" w:tplc="0C090001">
      <w:start w:val="1"/>
      <w:numFmt w:val="bullet"/>
      <w:lvlText w:val=""/>
      <w:lvlJc w:val="left"/>
      <w:pPr>
        <w:ind w:left="735" w:hanging="360"/>
      </w:pPr>
      <w:rPr>
        <w:rFonts w:ascii="Symbol" w:hAnsi="Symbol" w:hint="default"/>
      </w:rPr>
    </w:lvl>
    <w:lvl w:ilvl="1" w:tplc="0C090003">
      <w:start w:val="1"/>
      <w:numFmt w:val="bullet"/>
      <w:lvlText w:val="o"/>
      <w:lvlJc w:val="left"/>
      <w:pPr>
        <w:ind w:left="1455" w:hanging="360"/>
      </w:pPr>
      <w:rPr>
        <w:rFonts w:ascii="Courier New" w:hAnsi="Courier New" w:cs="Arial"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Arial"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Arial" w:hint="default"/>
      </w:rPr>
    </w:lvl>
    <w:lvl w:ilvl="8" w:tplc="0C090005" w:tentative="1">
      <w:start w:val="1"/>
      <w:numFmt w:val="bullet"/>
      <w:lvlText w:val=""/>
      <w:lvlJc w:val="left"/>
      <w:pPr>
        <w:ind w:left="6495" w:hanging="360"/>
      </w:pPr>
      <w:rPr>
        <w:rFonts w:ascii="Wingdings" w:hAnsi="Wingdings" w:hint="default"/>
      </w:rPr>
    </w:lvl>
  </w:abstractNum>
  <w:abstractNum w:abstractNumId="20" w15:restartNumberingAfterBreak="0">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1"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642C3DB9"/>
    <w:multiLevelType w:val="multilevel"/>
    <w:tmpl w:val="9F0AAEE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pStyle w:val="AppendixHeading"/>
      <w:suff w:val="space"/>
      <w:lvlText w:val="Appendix %6:"/>
      <w:lvlJc w:val="left"/>
      <w:pPr>
        <w:ind w:left="0" w:firstLine="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pStyle w:val="ListNumber"/>
      <w:lvlText w:val="%7."/>
      <w:lvlJc w:val="left"/>
      <w:pPr>
        <w:tabs>
          <w:tab w:val="num" w:pos="357"/>
        </w:tabs>
        <w:ind w:left="357" w:hanging="357"/>
      </w:pPr>
      <w:rPr>
        <w:rFonts w:hint="default"/>
      </w:rPr>
    </w:lvl>
    <w:lvl w:ilvl="7">
      <w:start w:val="1"/>
      <w:numFmt w:val="lowerLetter"/>
      <w:pStyle w:val="ListNumber2"/>
      <w:lvlText w:val="%8."/>
      <w:lvlJc w:val="left"/>
      <w:pPr>
        <w:tabs>
          <w:tab w:val="num" w:pos="720"/>
        </w:tabs>
        <w:ind w:left="720" w:hanging="363"/>
      </w:pPr>
      <w:rPr>
        <w:rFonts w:hint="default"/>
      </w:rPr>
    </w:lvl>
    <w:lvl w:ilvl="8">
      <w:start w:val="1"/>
      <w:numFmt w:val="lowerRoman"/>
      <w:pStyle w:val="ListNumber3"/>
      <w:lvlText w:val="%9)"/>
      <w:lvlJc w:val="left"/>
      <w:pPr>
        <w:tabs>
          <w:tab w:val="num" w:pos="1077"/>
        </w:tabs>
        <w:ind w:left="1077" w:hanging="357"/>
      </w:pPr>
      <w:rPr>
        <w:rFonts w:hint="default"/>
      </w:rPr>
    </w:lvl>
  </w:abstractNum>
  <w:abstractNum w:abstractNumId="23" w15:restartNumberingAfterBreak="0">
    <w:nsid w:val="6E993374"/>
    <w:multiLevelType w:val="hybridMultilevel"/>
    <w:tmpl w:val="F39A0FE8"/>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4" w15:restartNumberingAfterBreak="0">
    <w:nsid w:val="7BCF11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20"/>
  </w:num>
  <w:num w:numId="4">
    <w:abstractNumId w:val="21"/>
  </w:num>
  <w:num w:numId="5">
    <w:abstractNumId w:val="1"/>
  </w:num>
  <w:num w:numId="6">
    <w:abstractNumId w:val="0"/>
  </w:num>
  <w:num w:numId="7">
    <w:abstractNumId w:val="7"/>
  </w:num>
  <w:num w:numId="8">
    <w:abstractNumId w:val="18"/>
  </w:num>
  <w:num w:numId="9">
    <w:abstractNumId w:val="5"/>
  </w:num>
  <w:num w:numId="10">
    <w:abstractNumId w:val="22"/>
  </w:num>
  <w:num w:numId="11">
    <w:abstractNumId w:val="15"/>
  </w:num>
  <w:num w:numId="12">
    <w:abstractNumId w:val="6"/>
  </w:num>
  <w:num w:numId="13">
    <w:abstractNumId w:val="19"/>
  </w:num>
  <w:num w:numId="14">
    <w:abstractNumId w:val="5"/>
  </w:num>
  <w:num w:numId="15">
    <w:abstractNumId w:val="9"/>
  </w:num>
  <w:num w:numId="16">
    <w:abstractNumId w:val="13"/>
  </w:num>
  <w:num w:numId="17">
    <w:abstractNumId w:val="16"/>
  </w:num>
  <w:num w:numId="18">
    <w:abstractNumId w:val="16"/>
  </w:num>
  <w:num w:numId="19">
    <w:abstractNumId w:val="16"/>
  </w:num>
  <w:num w:numId="20">
    <w:abstractNumId w:val="17"/>
  </w:num>
  <w:num w:numId="21">
    <w:abstractNumId w:val="1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4"/>
  </w:num>
  <w:num w:numId="25">
    <w:abstractNumId w:val="14"/>
  </w:num>
  <w:num w:numId="26">
    <w:abstractNumId w:val="23"/>
  </w:num>
  <w:num w:numId="27">
    <w:abstractNumId w:val="2"/>
  </w:num>
  <w:num w:numId="28">
    <w:abstractNumId w:val="1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attachedTemplate r:id="rId1"/>
  <w:documentProtection w:formatting="1" w:enforcement="1" w:cryptProviderType="rsaAES" w:cryptAlgorithmClass="hash" w:cryptAlgorithmType="typeAny" w:cryptAlgorithmSid="14" w:cryptSpinCount="100000" w:hash="u2jvIohIXEbsRjk46iJ7lpxFofbI39R0ORJz6evFhgJpFEQqp9E7sP64k/iQMyuDF0unPBt/wt798I852DHO7A==" w:salt="3HQhP2AkdtNuAWy9coPzig=="/>
  <w:styleLockTheme/>
  <w:styleLockQFSet/>
  <w:defaultTabStop w:val="720"/>
  <w:characterSpacingControl w:val="doNotCompress"/>
  <w:hdrShapeDefaults>
    <o:shapedefaults v:ext="edit" spidmax="4300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93"/>
    <w:rsid w:val="00005D98"/>
    <w:rsid w:val="00012728"/>
    <w:rsid w:val="00034A19"/>
    <w:rsid w:val="00036F9E"/>
    <w:rsid w:val="000413B3"/>
    <w:rsid w:val="000628F9"/>
    <w:rsid w:val="00066327"/>
    <w:rsid w:val="00070C09"/>
    <w:rsid w:val="00070DFC"/>
    <w:rsid w:val="00074814"/>
    <w:rsid w:val="0007781D"/>
    <w:rsid w:val="00083512"/>
    <w:rsid w:val="00086CE6"/>
    <w:rsid w:val="00086F71"/>
    <w:rsid w:val="000949AD"/>
    <w:rsid w:val="00095109"/>
    <w:rsid w:val="00096B0F"/>
    <w:rsid w:val="000A490E"/>
    <w:rsid w:val="000B3BAD"/>
    <w:rsid w:val="000B63CA"/>
    <w:rsid w:val="000C1449"/>
    <w:rsid w:val="000C14D9"/>
    <w:rsid w:val="000D4EDE"/>
    <w:rsid w:val="000E0757"/>
    <w:rsid w:val="000E07B4"/>
    <w:rsid w:val="000E36F0"/>
    <w:rsid w:val="000E58B4"/>
    <w:rsid w:val="000F731B"/>
    <w:rsid w:val="00102E89"/>
    <w:rsid w:val="00106181"/>
    <w:rsid w:val="00107D08"/>
    <w:rsid w:val="00110284"/>
    <w:rsid w:val="00123576"/>
    <w:rsid w:val="00124B21"/>
    <w:rsid w:val="0012669A"/>
    <w:rsid w:val="00127F78"/>
    <w:rsid w:val="00136CA3"/>
    <w:rsid w:val="00146797"/>
    <w:rsid w:val="00163ADF"/>
    <w:rsid w:val="001653B6"/>
    <w:rsid w:val="00165F05"/>
    <w:rsid w:val="00174E59"/>
    <w:rsid w:val="00180D3B"/>
    <w:rsid w:val="001820D0"/>
    <w:rsid w:val="0018235E"/>
    <w:rsid w:val="001846DB"/>
    <w:rsid w:val="0019337A"/>
    <w:rsid w:val="001939D8"/>
    <w:rsid w:val="001A5C91"/>
    <w:rsid w:val="001A7C2C"/>
    <w:rsid w:val="001A7F9A"/>
    <w:rsid w:val="001C38CC"/>
    <w:rsid w:val="001C5101"/>
    <w:rsid w:val="001D0AED"/>
    <w:rsid w:val="001D12A6"/>
    <w:rsid w:val="001E0EBC"/>
    <w:rsid w:val="001E0F51"/>
    <w:rsid w:val="001E6666"/>
    <w:rsid w:val="001F0897"/>
    <w:rsid w:val="001F6E1A"/>
    <w:rsid w:val="00207B6F"/>
    <w:rsid w:val="00215009"/>
    <w:rsid w:val="00221B89"/>
    <w:rsid w:val="002325FA"/>
    <w:rsid w:val="00240126"/>
    <w:rsid w:val="0024501F"/>
    <w:rsid w:val="0025034C"/>
    <w:rsid w:val="00252E6A"/>
    <w:rsid w:val="002607C1"/>
    <w:rsid w:val="0026422C"/>
    <w:rsid w:val="002661A6"/>
    <w:rsid w:val="00266C23"/>
    <w:rsid w:val="00266E2F"/>
    <w:rsid w:val="00285B91"/>
    <w:rsid w:val="00286B81"/>
    <w:rsid w:val="00286EAD"/>
    <w:rsid w:val="00291E37"/>
    <w:rsid w:val="0029389B"/>
    <w:rsid w:val="002A7D14"/>
    <w:rsid w:val="002B4550"/>
    <w:rsid w:val="002B6303"/>
    <w:rsid w:val="002B7504"/>
    <w:rsid w:val="002C0D97"/>
    <w:rsid w:val="002C7065"/>
    <w:rsid w:val="002C7F4A"/>
    <w:rsid w:val="002D051D"/>
    <w:rsid w:val="002D2804"/>
    <w:rsid w:val="002D34AE"/>
    <w:rsid w:val="002D5397"/>
    <w:rsid w:val="002E6FF4"/>
    <w:rsid w:val="002E79FA"/>
    <w:rsid w:val="002F0685"/>
    <w:rsid w:val="002F0C2C"/>
    <w:rsid w:val="002F6FB7"/>
    <w:rsid w:val="00303D18"/>
    <w:rsid w:val="00304932"/>
    <w:rsid w:val="00306405"/>
    <w:rsid w:val="00307ADD"/>
    <w:rsid w:val="003130CA"/>
    <w:rsid w:val="00316A25"/>
    <w:rsid w:val="0032284F"/>
    <w:rsid w:val="0033434E"/>
    <w:rsid w:val="00344550"/>
    <w:rsid w:val="00361DEE"/>
    <w:rsid w:val="003706A1"/>
    <w:rsid w:val="00371E1C"/>
    <w:rsid w:val="00371F54"/>
    <w:rsid w:val="00383A95"/>
    <w:rsid w:val="003A004F"/>
    <w:rsid w:val="003A0FA5"/>
    <w:rsid w:val="003A3021"/>
    <w:rsid w:val="003A58E8"/>
    <w:rsid w:val="003B6E16"/>
    <w:rsid w:val="003D27CB"/>
    <w:rsid w:val="003D455C"/>
    <w:rsid w:val="003D69A6"/>
    <w:rsid w:val="003D6F71"/>
    <w:rsid w:val="003D7459"/>
    <w:rsid w:val="003E0A49"/>
    <w:rsid w:val="003E1354"/>
    <w:rsid w:val="003E6BF6"/>
    <w:rsid w:val="003F0F0D"/>
    <w:rsid w:val="003F56EE"/>
    <w:rsid w:val="003F6FFB"/>
    <w:rsid w:val="00400051"/>
    <w:rsid w:val="0040173E"/>
    <w:rsid w:val="00432AE9"/>
    <w:rsid w:val="00433A0B"/>
    <w:rsid w:val="00435324"/>
    <w:rsid w:val="00436BCF"/>
    <w:rsid w:val="00436FB3"/>
    <w:rsid w:val="0046260C"/>
    <w:rsid w:val="00463FA8"/>
    <w:rsid w:val="00477CBD"/>
    <w:rsid w:val="004803E2"/>
    <w:rsid w:val="00480D34"/>
    <w:rsid w:val="0048583D"/>
    <w:rsid w:val="00486BC5"/>
    <w:rsid w:val="00490D92"/>
    <w:rsid w:val="00494335"/>
    <w:rsid w:val="004A038B"/>
    <w:rsid w:val="004A15DD"/>
    <w:rsid w:val="004B2D35"/>
    <w:rsid w:val="004B48E5"/>
    <w:rsid w:val="004B4C8A"/>
    <w:rsid w:val="004B584E"/>
    <w:rsid w:val="004B5978"/>
    <w:rsid w:val="004C1106"/>
    <w:rsid w:val="004C2E78"/>
    <w:rsid w:val="004C7158"/>
    <w:rsid w:val="004D067C"/>
    <w:rsid w:val="004D0EEF"/>
    <w:rsid w:val="004D55A5"/>
    <w:rsid w:val="004E2269"/>
    <w:rsid w:val="004E3074"/>
    <w:rsid w:val="004F0EEB"/>
    <w:rsid w:val="004F4F38"/>
    <w:rsid w:val="00503A51"/>
    <w:rsid w:val="00512309"/>
    <w:rsid w:val="00515F75"/>
    <w:rsid w:val="00527AA8"/>
    <w:rsid w:val="0053309A"/>
    <w:rsid w:val="0053449D"/>
    <w:rsid w:val="00544869"/>
    <w:rsid w:val="0054526E"/>
    <w:rsid w:val="00545DCA"/>
    <w:rsid w:val="005476B5"/>
    <w:rsid w:val="005478DE"/>
    <w:rsid w:val="00562080"/>
    <w:rsid w:val="005822FD"/>
    <w:rsid w:val="005A16CF"/>
    <w:rsid w:val="005A3F63"/>
    <w:rsid w:val="005B073E"/>
    <w:rsid w:val="005B0C2A"/>
    <w:rsid w:val="005B227F"/>
    <w:rsid w:val="005B2324"/>
    <w:rsid w:val="005B2E76"/>
    <w:rsid w:val="005B5C2A"/>
    <w:rsid w:val="005B7801"/>
    <w:rsid w:val="005D5FAE"/>
    <w:rsid w:val="005E074A"/>
    <w:rsid w:val="005F070A"/>
    <w:rsid w:val="005F0D8B"/>
    <w:rsid w:val="005F29B7"/>
    <w:rsid w:val="00606EB5"/>
    <w:rsid w:val="00617FDA"/>
    <w:rsid w:val="006320E7"/>
    <w:rsid w:val="006326B8"/>
    <w:rsid w:val="00634E4C"/>
    <w:rsid w:val="00636B8B"/>
    <w:rsid w:val="0063701D"/>
    <w:rsid w:val="00637EFB"/>
    <w:rsid w:val="006427FE"/>
    <w:rsid w:val="00642C90"/>
    <w:rsid w:val="00643712"/>
    <w:rsid w:val="00646BC4"/>
    <w:rsid w:val="0064798A"/>
    <w:rsid w:val="006506C1"/>
    <w:rsid w:val="00652982"/>
    <w:rsid w:val="006646D2"/>
    <w:rsid w:val="0066674D"/>
    <w:rsid w:val="00666A78"/>
    <w:rsid w:val="0067647C"/>
    <w:rsid w:val="0069375D"/>
    <w:rsid w:val="0069407C"/>
    <w:rsid w:val="0069574E"/>
    <w:rsid w:val="006A01B1"/>
    <w:rsid w:val="006A1EA9"/>
    <w:rsid w:val="006A3A02"/>
    <w:rsid w:val="006B200B"/>
    <w:rsid w:val="006B5095"/>
    <w:rsid w:val="006B6528"/>
    <w:rsid w:val="006C6AD7"/>
    <w:rsid w:val="006D1CA8"/>
    <w:rsid w:val="006D2006"/>
    <w:rsid w:val="006D5278"/>
    <w:rsid w:val="006E00D8"/>
    <w:rsid w:val="006F145A"/>
    <w:rsid w:val="006F27CB"/>
    <w:rsid w:val="006F3DA0"/>
    <w:rsid w:val="006F5865"/>
    <w:rsid w:val="00704E93"/>
    <w:rsid w:val="00711C49"/>
    <w:rsid w:val="00724898"/>
    <w:rsid w:val="007370EC"/>
    <w:rsid w:val="0074050E"/>
    <w:rsid w:val="007508DE"/>
    <w:rsid w:val="00753D94"/>
    <w:rsid w:val="00755163"/>
    <w:rsid w:val="00756AAB"/>
    <w:rsid w:val="00757F63"/>
    <w:rsid w:val="007645AE"/>
    <w:rsid w:val="00764992"/>
    <w:rsid w:val="007650B5"/>
    <w:rsid w:val="00773673"/>
    <w:rsid w:val="00774EB4"/>
    <w:rsid w:val="00775AA0"/>
    <w:rsid w:val="00786CB5"/>
    <w:rsid w:val="007A0C54"/>
    <w:rsid w:val="007A0FA2"/>
    <w:rsid w:val="007A6E88"/>
    <w:rsid w:val="007A7EC3"/>
    <w:rsid w:val="007B5ECC"/>
    <w:rsid w:val="007C08B1"/>
    <w:rsid w:val="007C2CC2"/>
    <w:rsid w:val="007C39E4"/>
    <w:rsid w:val="007C5F64"/>
    <w:rsid w:val="007C79AA"/>
    <w:rsid w:val="007C7C61"/>
    <w:rsid w:val="007D1137"/>
    <w:rsid w:val="007D666A"/>
    <w:rsid w:val="007E525D"/>
    <w:rsid w:val="007F2954"/>
    <w:rsid w:val="007F3A44"/>
    <w:rsid w:val="00800811"/>
    <w:rsid w:val="00811C0C"/>
    <w:rsid w:val="00820BF9"/>
    <w:rsid w:val="00820F8F"/>
    <w:rsid w:val="00822611"/>
    <w:rsid w:val="00824E28"/>
    <w:rsid w:val="008308DD"/>
    <w:rsid w:val="008335A8"/>
    <w:rsid w:val="00836DBB"/>
    <w:rsid w:val="008408DF"/>
    <w:rsid w:val="00845166"/>
    <w:rsid w:val="00845843"/>
    <w:rsid w:val="008637EC"/>
    <w:rsid w:val="00870BC6"/>
    <w:rsid w:val="0087190D"/>
    <w:rsid w:val="00872EAC"/>
    <w:rsid w:val="008740C6"/>
    <w:rsid w:val="0087786C"/>
    <w:rsid w:val="00885A14"/>
    <w:rsid w:val="0088689B"/>
    <w:rsid w:val="0089031E"/>
    <w:rsid w:val="00890FA0"/>
    <w:rsid w:val="00892D7F"/>
    <w:rsid w:val="00893BC3"/>
    <w:rsid w:val="0089599E"/>
    <w:rsid w:val="008A214D"/>
    <w:rsid w:val="008A21A9"/>
    <w:rsid w:val="008A579E"/>
    <w:rsid w:val="008A72D2"/>
    <w:rsid w:val="008B3745"/>
    <w:rsid w:val="008B6868"/>
    <w:rsid w:val="008C2AAF"/>
    <w:rsid w:val="008C6A43"/>
    <w:rsid w:val="008D080C"/>
    <w:rsid w:val="008E3D50"/>
    <w:rsid w:val="008F1082"/>
    <w:rsid w:val="008F3F9D"/>
    <w:rsid w:val="008F4094"/>
    <w:rsid w:val="008F66EC"/>
    <w:rsid w:val="00906799"/>
    <w:rsid w:val="00916949"/>
    <w:rsid w:val="00921226"/>
    <w:rsid w:val="00924152"/>
    <w:rsid w:val="0092557E"/>
    <w:rsid w:val="00927434"/>
    <w:rsid w:val="00931354"/>
    <w:rsid w:val="0093194D"/>
    <w:rsid w:val="00934C3F"/>
    <w:rsid w:val="009417AE"/>
    <w:rsid w:val="00952D4C"/>
    <w:rsid w:val="00954FD9"/>
    <w:rsid w:val="00967C28"/>
    <w:rsid w:val="00971821"/>
    <w:rsid w:val="00976E36"/>
    <w:rsid w:val="0097783F"/>
    <w:rsid w:val="009979F4"/>
    <w:rsid w:val="009A45B2"/>
    <w:rsid w:val="009B5289"/>
    <w:rsid w:val="009C724D"/>
    <w:rsid w:val="009D2DDD"/>
    <w:rsid w:val="009D78B4"/>
    <w:rsid w:val="009F2ABE"/>
    <w:rsid w:val="009F4C39"/>
    <w:rsid w:val="009F7FA6"/>
    <w:rsid w:val="00A023AE"/>
    <w:rsid w:val="00A1105B"/>
    <w:rsid w:val="00A20EBD"/>
    <w:rsid w:val="00A24D11"/>
    <w:rsid w:val="00A30323"/>
    <w:rsid w:val="00A33802"/>
    <w:rsid w:val="00A342AC"/>
    <w:rsid w:val="00A37E51"/>
    <w:rsid w:val="00A43DEC"/>
    <w:rsid w:val="00A53AED"/>
    <w:rsid w:val="00A55CB4"/>
    <w:rsid w:val="00A55F80"/>
    <w:rsid w:val="00A57E7C"/>
    <w:rsid w:val="00A62D31"/>
    <w:rsid w:val="00A72DAC"/>
    <w:rsid w:val="00A77900"/>
    <w:rsid w:val="00A825BE"/>
    <w:rsid w:val="00A91E37"/>
    <w:rsid w:val="00A92288"/>
    <w:rsid w:val="00A97E3B"/>
    <w:rsid w:val="00A97E5A"/>
    <w:rsid w:val="00AA0FF7"/>
    <w:rsid w:val="00AA24BD"/>
    <w:rsid w:val="00AB039E"/>
    <w:rsid w:val="00AB0CBE"/>
    <w:rsid w:val="00AB14EE"/>
    <w:rsid w:val="00AB2933"/>
    <w:rsid w:val="00AB5F4B"/>
    <w:rsid w:val="00AB7EC9"/>
    <w:rsid w:val="00AC286B"/>
    <w:rsid w:val="00AC390A"/>
    <w:rsid w:val="00AC7C16"/>
    <w:rsid w:val="00AD01DA"/>
    <w:rsid w:val="00AE52E0"/>
    <w:rsid w:val="00AF129F"/>
    <w:rsid w:val="00AF17CF"/>
    <w:rsid w:val="00AF3F96"/>
    <w:rsid w:val="00AF56EC"/>
    <w:rsid w:val="00AF5893"/>
    <w:rsid w:val="00B01F07"/>
    <w:rsid w:val="00B0348A"/>
    <w:rsid w:val="00B064E5"/>
    <w:rsid w:val="00B12DC9"/>
    <w:rsid w:val="00B13A85"/>
    <w:rsid w:val="00B13F84"/>
    <w:rsid w:val="00B15ABA"/>
    <w:rsid w:val="00B224F6"/>
    <w:rsid w:val="00B23077"/>
    <w:rsid w:val="00B234D9"/>
    <w:rsid w:val="00B243F6"/>
    <w:rsid w:val="00B247B0"/>
    <w:rsid w:val="00B3782C"/>
    <w:rsid w:val="00B41D8E"/>
    <w:rsid w:val="00B42B2F"/>
    <w:rsid w:val="00B472E1"/>
    <w:rsid w:val="00B566E5"/>
    <w:rsid w:val="00B6789D"/>
    <w:rsid w:val="00B67A6E"/>
    <w:rsid w:val="00B71170"/>
    <w:rsid w:val="00B77F29"/>
    <w:rsid w:val="00B81740"/>
    <w:rsid w:val="00B81CA7"/>
    <w:rsid w:val="00B85D7B"/>
    <w:rsid w:val="00B900EA"/>
    <w:rsid w:val="00B91069"/>
    <w:rsid w:val="00BA7BA0"/>
    <w:rsid w:val="00BB11DA"/>
    <w:rsid w:val="00BC2832"/>
    <w:rsid w:val="00BC3ACB"/>
    <w:rsid w:val="00BD0280"/>
    <w:rsid w:val="00BD06AB"/>
    <w:rsid w:val="00BD3569"/>
    <w:rsid w:val="00BD6623"/>
    <w:rsid w:val="00BD74A8"/>
    <w:rsid w:val="00BD7DF2"/>
    <w:rsid w:val="00BE1CED"/>
    <w:rsid w:val="00BE64E2"/>
    <w:rsid w:val="00BF77BA"/>
    <w:rsid w:val="00C00FDA"/>
    <w:rsid w:val="00C04E4B"/>
    <w:rsid w:val="00C1313E"/>
    <w:rsid w:val="00C13A55"/>
    <w:rsid w:val="00C15C74"/>
    <w:rsid w:val="00C15EB8"/>
    <w:rsid w:val="00C235A8"/>
    <w:rsid w:val="00C3071A"/>
    <w:rsid w:val="00C34B84"/>
    <w:rsid w:val="00C35A64"/>
    <w:rsid w:val="00C62BF5"/>
    <w:rsid w:val="00C636DA"/>
    <w:rsid w:val="00C72271"/>
    <w:rsid w:val="00C76BD7"/>
    <w:rsid w:val="00C81041"/>
    <w:rsid w:val="00C8274D"/>
    <w:rsid w:val="00C87194"/>
    <w:rsid w:val="00C91AD9"/>
    <w:rsid w:val="00C92715"/>
    <w:rsid w:val="00C965E4"/>
    <w:rsid w:val="00CA1EAA"/>
    <w:rsid w:val="00CA5405"/>
    <w:rsid w:val="00CA6FF9"/>
    <w:rsid w:val="00CB306B"/>
    <w:rsid w:val="00CB4238"/>
    <w:rsid w:val="00CB49D8"/>
    <w:rsid w:val="00CC176E"/>
    <w:rsid w:val="00CC34EB"/>
    <w:rsid w:val="00CC3BA7"/>
    <w:rsid w:val="00CC4A14"/>
    <w:rsid w:val="00CC66EA"/>
    <w:rsid w:val="00CD2D96"/>
    <w:rsid w:val="00CD7911"/>
    <w:rsid w:val="00CE1A49"/>
    <w:rsid w:val="00CE2E48"/>
    <w:rsid w:val="00D021F7"/>
    <w:rsid w:val="00D078A2"/>
    <w:rsid w:val="00D166B2"/>
    <w:rsid w:val="00D2005C"/>
    <w:rsid w:val="00D20D27"/>
    <w:rsid w:val="00D416A5"/>
    <w:rsid w:val="00D461C2"/>
    <w:rsid w:val="00D61AAE"/>
    <w:rsid w:val="00D637B7"/>
    <w:rsid w:val="00D64C8B"/>
    <w:rsid w:val="00D65836"/>
    <w:rsid w:val="00D76B37"/>
    <w:rsid w:val="00D84E12"/>
    <w:rsid w:val="00DA47B1"/>
    <w:rsid w:val="00DA4C48"/>
    <w:rsid w:val="00DA727D"/>
    <w:rsid w:val="00DB53A7"/>
    <w:rsid w:val="00DC5900"/>
    <w:rsid w:val="00DD170F"/>
    <w:rsid w:val="00DD29FC"/>
    <w:rsid w:val="00DD4FE8"/>
    <w:rsid w:val="00DE0A8A"/>
    <w:rsid w:val="00DE0AB7"/>
    <w:rsid w:val="00DE23B2"/>
    <w:rsid w:val="00DE5FFD"/>
    <w:rsid w:val="00DF10B1"/>
    <w:rsid w:val="00DF1EA9"/>
    <w:rsid w:val="00DF6E54"/>
    <w:rsid w:val="00E01522"/>
    <w:rsid w:val="00E01BFE"/>
    <w:rsid w:val="00E04228"/>
    <w:rsid w:val="00E04457"/>
    <w:rsid w:val="00E04BBC"/>
    <w:rsid w:val="00E139F9"/>
    <w:rsid w:val="00E146CE"/>
    <w:rsid w:val="00E148E4"/>
    <w:rsid w:val="00E159D7"/>
    <w:rsid w:val="00E21653"/>
    <w:rsid w:val="00E2414E"/>
    <w:rsid w:val="00E32027"/>
    <w:rsid w:val="00E3218A"/>
    <w:rsid w:val="00E375BB"/>
    <w:rsid w:val="00E405DE"/>
    <w:rsid w:val="00E505A8"/>
    <w:rsid w:val="00E5254B"/>
    <w:rsid w:val="00E54BCF"/>
    <w:rsid w:val="00E5569D"/>
    <w:rsid w:val="00E57582"/>
    <w:rsid w:val="00E60E40"/>
    <w:rsid w:val="00E61C99"/>
    <w:rsid w:val="00E61D6D"/>
    <w:rsid w:val="00E6464B"/>
    <w:rsid w:val="00E7257D"/>
    <w:rsid w:val="00E84A6B"/>
    <w:rsid w:val="00E92385"/>
    <w:rsid w:val="00E96DEA"/>
    <w:rsid w:val="00EA1FBB"/>
    <w:rsid w:val="00EA48AE"/>
    <w:rsid w:val="00EA4D51"/>
    <w:rsid w:val="00EA59EA"/>
    <w:rsid w:val="00EB4981"/>
    <w:rsid w:val="00EC457D"/>
    <w:rsid w:val="00EC5540"/>
    <w:rsid w:val="00EC5C8C"/>
    <w:rsid w:val="00ED3E59"/>
    <w:rsid w:val="00EF2A15"/>
    <w:rsid w:val="00EF2C07"/>
    <w:rsid w:val="00EF5BFD"/>
    <w:rsid w:val="00F00EA1"/>
    <w:rsid w:val="00F065EC"/>
    <w:rsid w:val="00F12FB1"/>
    <w:rsid w:val="00F15D80"/>
    <w:rsid w:val="00F2072C"/>
    <w:rsid w:val="00F34D63"/>
    <w:rsid w:val="00F34DCA"/>
    <w:rsid w:val="00F42EC2"/>
    <w:rsid w:val="00F534D7"/>
    <w:rsid w:val="00F66643"/>
    <w:rsid w:val="00F6718A"/>
    <w:rsid w:val="00F76C98"/>
    <w:rsid w:val="00F77BE0"/>
    <w:rsid w:val="00F80750"/>
    <w:rsid w:val="00F81D38"/>
    <w:rsid w:val="00F85F59"/>
    <w:rsid w:val="00F86DD4"/>
    <w:rsid w:val="00F92147"/>
    <w:rsid w:val="00FA0288"/>
    <w:rsid w:val="00FA1A60"/>
    <w:rsid w:val="00FA3091"/>
    <w:rsid w:val="00FA4FD5"/>
    <w:rsid w:val="00FB12C9"/>
    <w:rsid w:val="00FB4CF2"/>
    <w:rsid w:val="00FB7C17"/>
    <w:rsid w:val="00FE1A7E"/>
    <w:rsid w:val="00FF6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53A7CB"/>
  <w15:docId w15:val="{34E7FBAD-2705-4D8A-A0F6-995A6249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AU" w:eastAsia="en-US" w:bidi="ar-SA"/>
      </w:rPr>
    </w:rPrDefault>
    <w:pPrDefault>
      <w:pPr>
        <w:spacing w:before="120" w:after="12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uiPriority="16" w:unhideWhenUsed="1" w:qFormat="1"/>
    <w:lsdException w:name="List Bullet 5" w:semiHidden="1" w:unhideWhenUsed="1"/>
    <w:lsdException w:name="List Number 2" w:uiPriority="16" w:unhideWhenUsed="1" w:qFormat="1"/>
    <w:lsdException w:name="List Number 3" w:uiPriority="16" w:unhideWhenUsed="1" w:qFormat="1"/>
    <w:lsdException w:name="List Number 4" w:unhideWhenUsed="1" w:qFormat="1"/>
    <w:lsdException w:name="List Number 5" w:semiHidden="1" w:unhideWhenUsed="1"/>
    <w:lsdException w:name="Title" w:uiPriority="18"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iPriority="17" w:unhideWhenUsed="1" w:qFormat="1"/>
    <w:lsdException w:name="List Continue 2" w:semiHidden="1" w:uiPriority="17" w:unhideWhenUsed="1" w:qFormat="1"/>
    <w:lsdException w:name="List Continue 3" w:semiHidden="1" w:uiPriority="17" w:unhideWhenUsed="1" w:qFormat="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unhideWhenUsed="1"/>
    <w:lsdException w:name="Strong" w:uiPriority="1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405DE"/>
  </w:style>
  <w:style w:type="paragraph" w:styleId="Heading1">
    <w:name w:val="heading 1"/>
    <w:basedOn w:val="Normal"/>
    <w:next w:val="Normal"/>
    <w:link w:val="Heading1Char"/>
    <w:uiPriority w:val="9"/>
    <w:unhideWhenUsed/>
    <w:qFormat/>
    <w:rsid w:val="00E405DE"/>
    <w:pPr>
      <w:keepNext/>
      <w:keepLines/>
      <w:numPr>
        <w:numId w:val="10"/>
      </w:numPr>
      <w:spacing w:before="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405DE"/>
    <w:pPr>
      <w:keepNext/>
      <w:keepLines/>
      <w:numPr>
        <w:ilvl w:val="1"/>
        <w:numId w:val="10"/>
      </w:numPr>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E405DE"/>
    <w:pPr>
      <w:keepNext/>
      <w:keepLines/>
      <w:numPr>
        <w:ilvl w:val="2"/>
        <w:numId w:val="10"/>
      </w:numPr>
      <w:spacing w:before="24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qFormat/>
    <w:rsid w:val="00E405DE"/>
    <w:pPr>
      <w:keepNext/>
      <w:keepLines/>
      <w:numPr>
        <w:ilvl w:val="3"/>
        <w:numId w:val="10"/>
      </w:numPr>
      <w:spacing w:before="240"/>
      <w:outlineLvl w:val="3"/>
    </w:pPr>
    <w:rPr>
      <w:rFonts w:asciiTheme="majorHAnsi" w:eastAsiaTheme="majorEastAsia" w:hAnsiTheme="majorHAnsi" w:cstheme="majorBidi"/>
      <w:b/>
      <w:bCs/>
      <w:iCs/>
      <w:color w:val="000000" w:themeColor="text1"/>
      <w:sz w:val="32"/>
    </w:rPr>
  </w:style>
  <w:style w:type="paragraph" w:styleId="Heading5">
    <w:name w:val="heading 5"/>
    <w:basedOn w:val="Normal"/>
    <w:next w:val="Normal"/>
    <w:link w:val="Heading5Char"/>
    <w:uiPriority w:val="9"/>
    <w:qFormat/>
    <w:rsid w:val="00E405DE"/>
    <w:pPr>
      <w:keepNext/>
      <w:keepLines/>
      <w:numPr>
        <w:ilvl w:val="4"/>
        <w:numId w:val="10"/>
      </w:numPr>
      <w:spacing w:before="240"/>
      <w:outlineLvl w:val="4"/>
    </w:pPr>
    <w:rPr>
      <w:rFonts w:asciiTheme="majorHAnsi" w:eastAsiaTheme="majorEastAsia" w:hAnsiTheme="majorHAnsi" w:cstheme="majorBidi"/>
      <w:b/>
      <w:sz w:val="28"/>
    </w:rPr>
  </w:style>
  <w:style w:type="paragraph" w:styleId="Heading6">
    <w:name w:val="heading 6"/>
    <w:basedOn w:val="Normal"/>
    <w:next w:val="Normal"/>
    <w:link w:val="Heading6Char"/>
    <w:uiPriority w:val="9"/>
    <w:semiHidden/>
    <w:qFormat/>
    <w:locked/>
    <w:rsid w:val="00F80750"/>
    <w:pPr>
      <w:keepNext/>
      <w:keepLines/>
      <w:spacing w:before="200" w:after="0"/>
      <w:outlineLvl w:val="5"/>
    </w:pPr>
    <w:rPr>
      <w:rFonts w:asciiTheme="majorHAnsi" w:eastAsiaTheme="majorEastAsia" w:hAnsiTheme="majorHAnsi" w:cstheme="majorBidi"/>
      <w:i/>
      <w:iCs/>
      <w:color w:val="002235" w:themeColor="accent1" w:themeShade="7F"/>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5D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405DE"/>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405DE"/>
    <w:rPr>
      <w:rFonts w:asciiTheme="majorHAnsi" w:eastAsiaTheme="majorEastAsia" w:hAnsiTheme="majorHAnsi" w:cstheme="majorBidi"/>
      <w:b/>
      <w:bCs/>
      <w:sz w:val="26"/>
    </w:rPr>
  </w:style>
  <w:style w:type="paragraph" w:customStyle="1" w:styleId="CoverSubtitle">
    <w:name w:val="Cover Subtitle"/>
    <w:basedOn w:val="Normal"/>
    <w:next w:val="CoverIntroductionText"/>
    <w:uiPriority w:val="20"/>
    <w:qFormat/>
    <w:rsid w:val="009417AE"/>
    <w:pPr>
      <w:spacing w:after="0"/>
    </w:pPr>
    <w:rPr>
      <w:rFonts w:asciiTheme="majorHAnsi" w:hAnsiTheme="majorHAnsi"/>
      <w:sz w:val="36"/>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CoverIntroductionText">
    <w:name w:val="Cover Introduction Text"/>
    <w:basedOn w:val="Normal"/>
    <w:uiPriority w:val="20"/>
    <w:rsid w:val="003E6BF6"/>
    <w:pPr>
      <w:spacing w:after="113"/>
    </w:pPr>
    <w:rPr>
      <w:color w:val="000000" w:themeColor="text1"/>
      <w:spacing w:val="-2"/>
    </w:rPr>
  </w:style>
  <w:style w:type="character" w:customStyle="1" w:styleId="Heading4Char">
    <w:name w:val="Heading 4 Char"/>
    <w:basedOn w:val="DefaultParagraphFont"/>
    <w:link w:val="Heading4"/>
    <w:uiPriority w:val="9"/>
    <w:rsid w:val="00E405DE"/>
    <w:rPr>
      <w:rFonts w:asciiTheme="majorHAnsi" w:eastAsiaTheme="majorEastAsia" w:hAnsiTheme="majorHAnsi" w:cstheme="majorBidi"/>
      <w:b/>
      <w:bCs/>
      <w:iCs/>
      <w:color w:val="000000" w:themeColor="text1"/>
      <w:sz w:val="32"/>
    </w:rPr>
  </w:style>
  <w:style w:type="paragraph" w:styleId="ListBullet">
    <w:name w:val="List Bullet"/>
    <w:basedOn w:val="Normal"/>
    <w:uiPriority w:val="16"/>
    <w:qFormat/>
    <w:rsid w:val="00503A51"/>
    <w:pPr>
      <w:numPr>
        <w:numId w:val="8"/>
      </w:numPr>
    </w:pPr>
  </w:style>
  <w:style w:type="paragraph" w:styleId="ListBullet2">
    <w:name w:val="List Bullet 2"/>
    <w:basedOn w:val="ListBullet"/>
    <w:uiPriority w:val="16"/>
    <w:qFormat/>
    <w:rsid w:val="00503A51"/>
    <w:pPr>
      <w:numPr>
        <w:ilvl w:val="1"/>
      </w:numPr>
    </w:pPr>
    <w:rPr>
      <w:color w:val="000000" w:themeColor="text1"/>
    </w:rPr>
  </w:style>
  <w:style w:type="paragraph" w:styleId="ListNumber">
    <w:name w:val="List Number"/>
    <w:basedOn w:val="Normal"/>
    <w:uiPriority w:val="16"/>
    <w:qFormat/>
    <w:rsid w:val="00E84A6B"/>
    <w:pPr>
      <w:numPr>
        <w:ilvl w:val="6"/>
        <w:numId w:val="10"/>
      </w:numPr>
    </w:pPr>
  </w:style>
  <w:style w:type="paragraph" w:styleId="ListNumber2">
    <w:name w:val="List Number 2"/>
    <w:basedOn w:val="Normal"/>
    <w:uiPriority w:val="16"/>
    <w:qFormat/>
    <w:rsid w:val="00E84A6B"/>
    <w:pPr>
      <w:numPr>
        <w:ilvl w:val="7"/>
        <w:numId w:val="10"/>
      </w:numPr>
    </w:pPr>
  </w:style>
  <w:style w:type="numbering" w:customStyle="1" w:styleId="Lists">
    <w:name w:val="Lists"/>
    <w:uiPriority w:val="99"/>
    <w:rsid w:val="00CB4238"/>
    <w:pPr>
      <w:numPr>
        <w:numId w:val="3"/>
      </w:numPr>
    </w:pPr>
  </w:style>
  <w:style w:type="paragraph" w:styleId="ListNumber3">
    <w:name w:val="List Number 3"/>
    <w:basedOn w:val="Normal"/>
    <w:uiPriority w:val="16"/>
    <w:qFormat/>
    <w:rsid w:val="00EA48AE"/>
    <w:pPr>
      <w:numPr>
        <w:ilvl w:val="8"/>
        <w:numId w:val="10"/>
      </w:numPr>
    </w:pPr>
  </w:style>
  <w:style w:type="paragraph" w:styleId="Title">
    <w:name w:val="Title"/>
    <w:basedOn w:val="Normal"/>
    <w:next w:val="CoverSubtitle"/>
    <w:link w:val="TitleChar"/>
    <w:uiPriority w:val="18"/>
    <w:qFormat/>
    <w:rsid w:val="00AC286B"/>
    <w:pPr>
      <w:spacing w:before="240" w:after="24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18"/>
    <w:rsid w:val="00DC5900"/>
    <w:rPr>
      <w:rFonts w:asciiTheme="majorHAnsi" w:eastAsiaTheme="majorEastAsia" w:hAnsiTheme="majorHAnsi" w:cstheme="majorBidi"/>
      <w:b/>
      <w:sz w:val="40"/>
      <w:szCs w:val="52"/>
    </w:rPr>
  </w:style>
  <w:style w:type="numbering" w:customStyle="1" w:styleId="MultiLevelheadinglist">
    <w:name w:val="Multi Level heading list"/>
    <w:uiPriority w:val="99"/>
    <w:rsid w:val="00D461C2"/>
    <w:pPr>
      <w:numPr>
        <w:numId w:val="4"/>
      </w:numPr>
    </w:pPr>
  </w:style>
  <w:style w:type="paragraph" w:styleId="TOC1">
    <w:name w:val="toc 1"/>
    <w:basedOn w:val="Normal"/>
    <w:next w:val="Normal"/>
    <w:autoRedefine/>
    <w:uiPriority w:val="39"/>
    <w:rsid w:val="004A038B"/>
    <w:pPr>
      <w:tabs>
        <w:tab w:val="left" w:pos="440"/>
        <w:tab w:val="right" w:leader="dot" w:pos="9639"/>
      </w:tabs>
      <w:spacing w:before="57" w:after="57"/>
      <w:contextualSpacing/>
    </w:pPr>
    <w:rPr>
      <w:b/>
      <w:sz w:val="26"/>
    </w:rPr>
  </w:style>
  <w:style w:type="paragraph" w:styleId="TOCHeading">
    <w:name w:val="TOC Heading"/>
    <w:basedOn w:val="Heading1"/>
    <w:next w:val="Normal"/>
    <w:uiPriority w:val="39"/>
    <w:qFormat/>
    <w:rsid w:val="003E6BF6"/>
    <w:pPr>
      <w:numPr>
        <w:numId w:val="0"/>
      </w:numPr>
      <w:outlineLvl w:val="9"/>
    </w:pPr>
  </w:style>
  <w:style w:type="paragraph" w:styleId="Footer">
    <w:name w:val="footer"/>
    <w:basedOn w:val="Normal"/>
    <w:link w:val="FooterChar"/>
    <w:uiPriority w:val="99"/>
    <w:rsid w:val="0069407C"/>
    <w:pPr>
      <w:tabs>
        <w:tab w:val="center" w:pos="4513"/>
        <w:tab w:val="right" w:pos="9026"/>
      </w:tabs>
      <w:spacing w:line="200" w:lineRule="exact"/>
    </w:pPr>
    <w:rPr>
      <w:rFonts w:asciiTheme="majorHAnsi" w:hAnsiTheme="majorHAnsi"/>
      <w:sz w:val="16"/>
    </w:rPr>
  </w:style>
  <w:style w:type="character" w:customStyle="1" w:styleId="FooterChar">
    <w:name w:val="Footer Char"/>
    <w:basedOn w:val="DefaultParagraphFont"/>
    <w:link w:val="Footer"/>
    <w:uiPriority w:val="99"/>
    <w:rsid w:val="0069407C"/>
    <w:rPr>
      <w:rFonts w:asciiTheme="majorHAnsi" w:hAnsiTheme="majorHAnsi"/>
      <w:sz w:val="16"/>
    </w:rPr>
  </w:style>
  <w:style w:type="paragraph" w:styleId="ListBullet3">
    <w:name w:val="List Bullet 3"/>
    <w:basedOn w:val="Normal"/>
    <w:uiPriority w:val="16"/>
    <w:qFormat/>
    <w:rsid w:val="00503A51"/>
    <w:pPr>
      <w:numPr>
        <w:ilvl w:val="2"/>
        <w:numId w:val="8"/>
      </w:numPr>
      <w:contextualSpacing/>
    </w:pPr>
  </w:style>
  <w:style w:type="paragraph" w:styleId="ListBullet4">
    <w:name w:val="List Bullet 4"/>
    <w:basedOn w:val="Normal"/>
    <w:uiPriority w:val="16"/>
    <w:qFormat/>
    <w:rsid w:val="00503A51"/>
    <w:pPr>
      <w:numPr>
        <w:ilvl w:val="3"/>
        <w:numId w:val="8"/>
      </w:numPr>
      <w:contextualSpacing/>
    </w:pPr>
  </w:style>
  <w:style w:type="table" w:styleId="TableGrid">
    <w:name w:val="Table Grid"/>
    <w:basedOn w:val="TableNormal"/>
    <w:uiPriority w:val="59"/>
    <w:rsid w:val="00DC5900"/>
    <w:pPr>
      <w:spacing w:before="57" w:after="57"/>
      <w:ind w:left="108" w:right="108"/>
    </w:pPr>
    <w:tblPr>
      <w:tblBorders>
        <w:top w:val="single" w:sz="4" w:space="0" w:color="CDC3BD" w:themeColor="accent3"/>
        <w:left w:val="single" w:sz="4" w:space="0" w:color="CDC3BD" w:themeColor="accent3"/>
        <w:bottom w:val="single" w:sz="4" w:space="0" w:color="CDC3BD" w:themeColor="accent3"/>
        <w:right w:val="single" w:sz="4" w:space="0" w:color="CDC3BD" w:themeColor="accent3"/>
        <w:insideH w:val="single" w:sz="4" w:space="0" w:color="CDC3BD" w:themeColor="accent3"/>
        <w:insideV w:val="single" w:sz="4" w:space="0" w:color="CDC3BD" w:themeColor="accent3"/>
      </w:tblBorders>
      <w:tblCellMar>
        <w:left w:w="0" w:type="dxa"/>
        <w:right w:w="0" w:type="dxa"/>
      </w:tblCellMar>
    </w:tblPr>
    <w:tblStylePr w:type="firstRow">
      <w:rPr>
        <w:b/>
      </w:rPr>
      <w:tblPr/>
      <w:trPr>
        <w:tblHeader/>
      </w:trPr>
      <w:tcPr>
        <w:shd w:val="clear" w:color="auto" w:fill="00456B" w:themeFill="accent1"/>
      </w:tcPr>
    </w:tblStylePr>
  </w:style>
  <w:style w:type="paragraph" w:styleId="Caption">
    <w:name w:val="caption"/>
    <w:basedOn w:val="Normal"/>
    <w:next w:val="Normal"/>
    <w:uiPriority w:val="35"/>
    <w:qFormat/>
    <w:rsid w:val="003E6BF6"/>
    <w:pPr>
      <w:spacing w:after="340"/>
    </w:pPr>
    <w:rPr>
      <w:b/>
      <w:bCs/>
      <w:sz w:val="20"/>
      <w:szCs w:val="18"/>
    </w:rPr>
  </w:style>
  <w:style w:type="paragraph" w:styleId="Header">
    <w:name w:val="header"/>
    <w:basedOn w:val="Normal"/>
    <w:link w:val="HeaderChar"/>
    <w:uiPriority w:val="99"/>
    <w:rsid w:val="00755163"/>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contextualSpacing/>
    </w:pPr>
  </w:style>
  <w:style w:type="character" w:styleId="Hyperlink">
    <w:name w:val="Hyperlink"/>
    <w:basedOn w:val="DefaultParagraphFont"/>
    <w:rsid w:val="00C91AD9"/>
    <w:rPr>
      <w:noProof w:val="0"/>
      <w:color w:val="0563C1"/>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0456B" w:themeColor="accent1"/>
        <w:left w:val="single" w:sz="2" w:space="10" w:color="00456B" w:themeColor="accent1"/>
        <w:bottom w:val="single" w:sz="2" w:space="10" w:color="00456B" w:themeColor="accent1"/>
        <w:right w:val="single" w:sz="2" w:space="10" w:color="00456B" w:themeColor="accent1"/>
      </w:pBdr>
      <w:ind w:left="1152" w:right="1152"/>
    </w:pPr>
    <w:rPr>
      <w:rFonts w:asciiTheme="minorHAnsi" w:eastAsiaTheme="minorEastAsia" w:hAnsiTheme="minorHAnsi"/>
      <w:i/>
      <w:iCs/>
      <w:color w:val="00456B"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E2FF" w:themeFill="accent1" w:themeFillTint="33"/>
    </w:tcPr>
    <w:tblStylePr w:type="firstRow">
      <w:rPr>
        <w:b/>
        <w:bCs/>
      </w:rPr>
      <w:tblPr/>
      <w:tcPr>
        <w:shd w:val="clear" w:color="auto" w:fill="5DC5FF" w:themeFill="accent1" w:themeFillTint="66"/>
      </w:tcPr>
    </w:tblStylePr>
    <w:tblStylePr w:type="lastRow">
      <w:rPr>
        <w:b/>
        <w:bCs/>
        <w:color w:val="000000" w:themeColor="text1"/>
      </w:rPr>
      <w:tblPr/>
      <w:tcPr>
        <w:shd w:val="clear" w:color="auto" w:fill="5DC5FF" w:themeFill="accent1" w:themeFillTint="66"/>
      </w:tcPr>
    </w:tblStylePr>
    <w:tblStylePr w:type="firstCol">
      <w:rPr>
        <w:color w:val="FFFFFF" w:themeColor="background1"/>
      </w:rPr>
      <w:tblPr/>
      <w:tcPr>
        <w:shd w:val="clear" w:color="auto" w:fill="003350" w:themeFill="accent1" w:themeFillShade="BF"/>
      </w:tcPr>
    </w:tblStylePr>
    <w:tblStylePr w:type="lastCol">
      <w:rPr>
        <w:color w:val="FFFFFF" w:themeColor="background1"/>
      </w:rPr>
      <w:tblPr/>
      <w:tcPr>
        <w:shd w:val="clear" w:color="auto" w:fill="003350" w:themeFill="accent1" w:themeFillShade="BF"/>
      </w:tc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8D1" w:themeFill="accent2" w:themeFillTint="33"/>
    </w:tcPr>
    <w:tblStylePr w:type="firstRow">
      <w:rPr>
        <w:b/>
        <w:bCs/>
      </w:rPr>
      <w:tblPr/>
      <w:tcPr>
        <w:shd w:val="clear" w:color="auto" w:fill="F4D1A3" w:themeFill="accent2" w:themeFillTint="66"/>
      </w:tcPr>
    </w:tblStylePr>
    <w:tblStylePr w:type="lastRow">
      <w:rPr>
        <w:b/>
        <w:bCs/>
        <w:color w:val="000000" w:themeColor="text1"/>
      </w:rPr>
      <w:tblPr/>
      <w:tcPr>
        <w:shd w:val="clear" w:color="auto" w:fill="F4D1A3" w:themeFill="accent2" w:themeFillTint="66"/>
      </w:tcPr>
    </w:tblStylePr>
    <w:tblStylePr w:type="firstCol">
      <w:rPr>
        <w:color w:val="FFFFFF" w:themeColor="background1"/>
      </w:rPr>
      <w:tblPr/>
      <w:tcPr>
        <w:shd w:val="clear" w:color="auto" w:fill="AB6913" w:themeFill="accent2" w:themeFillShade="BF"/>
      </w:tcPr>
    </w:tblStylePr>
    <w:tblStylePr w:type="lastCol">
      <w:rPr>
        <w:color w:val="FFFFFF" w:themeColor="background1"/>
      </w:rPr>
      <w:tblPr/>
      <w:tcPr>
        <w:shd w:val="clear" w:color="auto" w:fill="AB6913" w:themeFill="accent2" w:themeFillShade="BF"/>
      </w:tc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2F1" w:themeFill="accent3" w:themeFillTint="33"/>
    </w:tcPr>
    <w:tblStylePr w:type="firstRow">
      <w:rPr>
        <w:b/>
        <w:bCs/>
      </w:rPr>
      <w:tblPr/>
      <w:tcPr>
        <w:shd w:val="clear" w:color="auto" w:fill="EBE6E4" w:themeFill="accent3" w:themeFillTint="66"/>
      </w:tcPr>
    </w:tblStylePr>
    <w:tblStylePr w:type="lastRow">
      <w:rPr>
        <w:b/>
        <w:bCs/>
        <w:color w:val="000000" w:themeColor="text1"/>
      </w:rPr>
      <w:tblPr/>
      <w:tcPr>
        <w:shd w:val="clear" w:color="auto" w:fill="EBE6E4" w:themeFill="accent3" w:themeFillTint="66"/>
      </w:tcPr>
    </w:tblStylePr>
    <w:tblStylePr w:type="firstCol">
      <w:rPr>
        <w:color w:val="FFFFFF" w:themeColor="background1"/>
      </w:rPr>
      <w:tblPr/>
      <w:tcPr>
        <w:shd w:val="clear" w:color="auto" w:fill="A28F84" w:themeFill="accent3" w:themeFillShade="BF"/>
      </w:tcPr>
    </w:tblStylePr>
    <w:tblStylePr w:type="lastCol">
      <w:rPr>
        <w:color w:val="FFFFFF" w:themeColor="background1"/>
      </w:rPr>
      <w:tblPr/>
      <w:tcPr>
        <w:shd w:val="clear" w:color="auto" w:fill="A28F84" w:themeFill="accent3" w:themeFillShade="BF"/>
      </w:tc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3E1" w:themeFill="accent4" w:themeFillTint="33"/>
    </w:tcPr>
    <w:tblStylePr w:type="firstRow">
      <w:rPr>
        <w:b/>
        <w:bCs/>
      </w:rPr>
      <w:tblPr/>
      <w:tcPr>
        <w:shd w:val="clear" w:color="auto" w:fill="E1C8C4" w:themeFill="accent4" w:themeFillTint="66"/>
      </w:tcPr>
    </w:tblStylePr>
    <w:tblStylePr w:type="lastRow">
      <w:rPr>
        <w:b/>
        <w:bCs/>
        <w:color w:val="000000" w:themeColor="text1"/>
      </w:rPr>
      <w:tblPr/>
      <w:tcPr>
        <w:shd w:val="clear" w:color="auto" w:fill="E1C8C4" w:themeFill="accent4" w:themeFillTint="66"/>
      </w:tcPr>
    </w:tblStylePr>
    <w:tblStylePr w:type="firstCol">
      <w:rPr>
        <w:color w:val="FFFFFF" w:themeColor="background1"/>
      </w:rPr>
      <w:tblPr/>
      <w:tcPr>
        <w:shd w:val="clear" w:color="auto" w:fill="8E5449" w:themeFill="accent4" w:themeFillShade="BF"/>
      </w:tcPr>
    </w:tblStylePr>
    <w:tblStylePr w:type="lastCol">
      <w:rPr>
        <w:color w:val="FFFFFF" w:themeColor="background1"/>
      </w:rPr>
      <w:tblPr/>
      <w:tcPr>
        <w:shd w:val="clear" w:color="auto" w:fill="8E5449" w:themeFill="accent4" w:themeFillShade="BF"/>
      </w:tc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8ED" w:themeFill="accent5" w:themeFillTint="33"/>
    </w:tcPr>
    <w:tblStylePr w:type="firstRow">
      <w:rPr>
        <w:b/>
        <w:bCs/>
      </w:rPr>
      <w:tblPr/>
      <w:tcPr>
        <w:shd w:val="clear" w:color="auto" w:fill="C4D2DB" w:themeFill="accent5" w:themeFillTint="66"/>
      </w:tcPr>
    </w:tblStylePr>
    <w:tblStylePr w:type="lastRow">
      <w:rPr>
        <w:b/>
        <w:bCs/>
        <w:color w:val="000000" w:themeColor="text1"/>
      </w:rPr>
      <w:tblPr/>
      <w:tcPr>
        <w:shd w:val="clear" w:color="auto" w:fill="C4D2DB" w:themeFill="accent5" w:themeFillTint="66"/>
      </w:tcPr>
    </w:tblStylePr>
    <w:tblStylePr w:type="firstCol">
      <w:rPr>
        <w:color w:val="FFFFFF" w:themeColor="background1"/>
      </w:rPr>
      <w:tblPr/>
      <w:tcPr>
        <w:shd w:val="clear" w:color="auto" w:fill="4E6C80" w:themeFill="accent5" w:themeFillShade="BF"/>
      </w:tcPr>
    </w:tblStylePr>
    <w:tblStylePr w:type="lastCol">
      <w:rPr>
        <w:color w:val="FFFFFF" w:themeColor="background1"/>
      </w:rPr>
      <w:tblPr/>
      <w:tcPr>
        <w:shd w:val="clear" w:color="auto" w:fill="4E6C80" w:themeFill="accent5" w:themeFillShade="BF"/>
      </w:tc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ED" w:themeFill="accent6" w:themeFillTint="33"/>
    </w:tcPr>
    <w:tblStylePr w:type="firstRow">
      <w:rPr>
        <w:b/>
        <w:bCs/>
      </w:rPr>
      <w:tblPr/>
      <w:tcPr>
        <w:shd w:val="clear" w:color="auto" w:fill="DEE1DC" w:themeFill="accent6" w:themeFillTint="66"/>
      </w:tcPr>
    </w:tblStylePr>
    <w:tblStylePr w:type="lastRow">
      <w:rPr>
        <w:b/>
        <w:bCs/>
        <w:color w:val="000000" w:themeColor="text1"/>
      </w:rPr>
      <w:tblPr/>
      <w:tcPr>
        <w:shd w:val="clear" w:color="auto" w:fill="DEE1DC" w:themeFill="accent6" w:themeFillTint="66"/>
      </w:tcPr>
    </w:tblStylePr>
    <w:tblStylePr w:type="firstCol">
      <w:rPr>
        <w:color w:val="FFFFFF" w:themeColor="background1"/>
      </w:rPr>
      <w:tblPr/>
      <w:tcPr>
        <w:shd w:val="clear" w:color="auto" w:fill="7F8D78" w:themeFill="accent6" w:themeFillShade="BF"/>
      </w:tcPr>
    </w:tblStylePr>
    <w:tblStylePr w:type="lastCol">
      <w:rPr>
        <w:color w:val="FFFFFF" w:themeColor="background1"/>
      </w:rPr>
      <w:tblPr/>
      <w:tcPr>
        <w:shd w:val="clear" w:color="auto" w:fill="7F8D78" w:themeFill="accent6" w:themeFillShade="BF"/>
      </w:tc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7F0FF" w:themeFill="accen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BFF" w:themeFill="accent1" w:themeFillTint="3F"/>
      </w:tcPr>
    </w:tblStylePr>
    <w:tblStylePr w:type="band1Horz">
      <w:tblPr/>
      <w:tcPr>
        <w:shd w:val="clear" w:color="auto" w:fill="AEE2FF"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CF3E8" w:themeFill="accent2"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2C6" w:themeFill="accent2" w:themeFillTint="3F"/>
      </w:tcPr>
    </w:tblStylePr>
    <w:tblStylePr w:type="band1Horz">
      <w:tblPr/>
      <w:tcPr>
        <w:shd w:val="clear" w:color="auto" w:fill="F9E8D1"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AF8F8" w:themeFill="accent3" w:themeFillTint="19"/>
    </w:tcPr>
    <w:tblStylePr w:type="firstRow">
      <w:rPr>
        <w:b/>
        <w:bCs/>
        <w:color w:val="FFFFFF" w:themeColor="background1"/>
      </w:rPr>
      <w:tblPr/>
      <w:tcPr>
        <w:tcBorders>
          <w:bottom w:val="single" w:sz="12" w:space="0" w:color="FFFFFF" w:themeColor="background1"/>
        </w:tcBorders>
        <w:shd w:val="clear" w:color="auto" w:fill="985A4D" w:themeFill="accent4" w:themeFillShade="CC"/>
      </w:tcPr>
    </w:tblStylePr>
    <w:tblStylePr w:type="lastRow">
      <w:rPr>
        <w:b/>
        <w:bCs/>
        <w:color w:val="985A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E" w:themeFill="accent3" w:themeFillTint="3F"/>
      </w:tcPr>
    </w:tblStylePr>
    <w:tblStylePr w:type="band1Horz">
      <w:tblPr/>
      <w:tcPr>
        <w:shd w:val="clear" w:color="auto" w:fill="F5F2F1"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7F1F0" w:themeFill="accent4" w:themeFillTint="19"/>
    </w:tcPr>
    <w:tblStylePr w:type="firstRow">
      <w:rPr>
        <w:b/>
        <w:bCs/>
        <w:color w:val="FFFFFF" w:themeColor="background1"/>
      </w:rPr>
      <w:tblPr/>
      <w:tcPr>
        <w:tcBorders>
          <w:bottom w:val="single" w:sz="12" w:space="0" w:color="FFFFFF" w:themeColor="background1"/>
        </w:tcBorders>
        <w:shd w:val="clear" w:color="auto" w:fill="AB9A90" w:themeFill="accent3" w:themeFillShade="CC"/>
      </w:tcPr>
    </w:tblStylePr>
    <w:tblStylePr w:type="lastRow">
      <w:rPr>
        <w:b/>
        <w:bCs/>
        <w:color w:val="AB9A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DDA" w:themeFill="accent4" w:themeFillTint="3F"/>
      </w:tcPr>
    </w:tblStylePr>
    <w:tblStylePr w:type="band1Horz">
      <w:tblPr/>
      <w:tcPr>
        <w:shd w:val="clear" w:color="auto" w:fill="F0E3E1"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0F4F6" w:themeFill="accent5" w:themeFillTint="19"/>
    </w:tcPr>
    <w:tblStylePr w:type="firstRow">
      <w:rPr>
        <w:b/>
        <w:bCs/>
        <w:color w:val="FFFFFF" w:themeColor="background1"/>
      </w:rPr>
      <w:tblPr/>
      <w:tcPr>
        <w:tcBorders>
          <w:bottom w:val="single" w:sz="12" w:space="0" w:color="FFFFFF" w:themeColor="background1"/>
        </w:tcBorders>
        <w:shd w:val="clear" w:color="auto" w:fill="899682" w:themeFill="accent6" w:themeFillShade="CC"/>
      </w:tcPr>
    </w:tblStylePr>
    <w:tblStylePr w:type="lastRow">
      <w:rPr>
        <w:b/>
        <w:bCs/>
        <w:color w:val="8996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9" w:themeFill="accent5" w:themeFillTint="3F"/>
      </w:tcPr>
    </w:tblStylePr>
    <w:tblStylePr w:type="band1Horz">
      <w:tblPr/>
      <w:tcPr>
        <w:shd w:val="clear" w:color="auto" w:fill="E1E8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6F7F6" w:themeFill="accent6" w:themeFillTint="19"/>
    </w:tcPr>
    <w:tblStylePr w:type="firstRow">
      <w:rPr>
        <w:b/>
        <w:bCs/>
        <w:color w:val="FFFFFF" w:themeColor="background1"/>
      </w:rPr>
      <w:tblPr/>
      <w:tcPr>
        <w:tcBorders>
          <w:bottom w:val="single" w:sz="12" w:space="0" w:color="FFFFFF" w:themeColor="background1"/>
        </w:tcBorders>
        <w:shd w:val="clear" w:color="auto" w:fill="547388" w:themeFill="accent5" w:themeFillShade="CC"/>
      </w:tcPr>
    </w:tblStylePr>
    <w:tblStylePr w:type="lastRow">
      <w:rPr>
        <w:b/>
        <w:bCs/>
        <w:color w:val="5473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E9" w:themeFill="accent6" w:themeFillTint="3F"/>
      </w:tcPr>
    </w:tblStylePr>
    <w:tblStylePr w:type="band1Horz">
      <w:tblPr/>
      <w:tcPr>
        <w:shd w:val="clear" w:color="auto" w:fill="EEF0ED"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456B" w:themeColor="accent1"/>
        <w:bottom w:val="single" w:sz="4" w:space="0" w:color="00456B" w:themeColor="accent1"/>
        <w:right w:val="single" w:sz="4" w:space="0" w:color="00456B" w:themeColor="accent1"/>
        <w:insideH w:val="single" w:sz="4" w:space="0" w:color="FFFFFF" w:themeColor="background1"/>
        <w:insideV w:val="single" w:sz="4" w:space="0" w:color="FFFFFF" w:themeColor="background1"/>
      </w:tblBorders>
    </w:tblPr>
    <w:tcPr>
      <w:shd w:val="clear" w:color="auto" w:fill="D7F0FF" w:themeFill="accen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0" w:themeFill="accent1" w:themeFillShade="99"/>
      </w:tcPr>
    </w:tblStylePr>
    <w:tblStylePr w:type="firstCol">
      <w:rPr>
        <w:color w:val="FFFFFF" w:themeColor="background1"/>
      </w:rPr>
      <w:tblPr/>
      <w:tcPr>
        <w:tcBorders>
          <w:top w:val="nil"/>
          <w:left w:val="nil"/>
          <w:bottom w:val="nil"/>
          <w:right w:val="nil"/>
          <w:insideH w:val="single" w:sz="4" w:space="0" w:color="002940" w:themeColor="accent1" w:themeShade="99"/>
          <w:insideV w:val="nil"/>
        </w:tcBorders>
        <w:shd w:val="clear" w:color="auto" w:fill="0029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0" w:themeFill="accent1" w:themeFillShade="99"/>
      </w:tcPr>
    </w:tblStylePr>
    <w:tblStylePr w:type="band1Vert">
      <w:tblPr/>
      <w:tcPr>
        <w:shd w:val="clear" w:color="auto" w:fill="5DC5FF" w:themeFill="accent1" w:themeFillTint="66"/>
      </w:tcPr>
    </w:tblStylePr>
    <w:tblStylePr w:type="band1Horz">
      <w:tblPr/>
      <w:tcPr>
        <w:shd w:val="clear" w:color="auto" w:fill="36B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E58E1A" w:themeColor="accent2"/>
        <w:bottom w:val="single" w:sz="4" w:space="0" w:color="E58E1A" w:themeColor="accent2"/>
        <w:right w:val="single" w:sz="4" w:space="0" w:color="E58E1A" w:themeColor="accent2"/>
        <w:insideH w:val="single" w:sz="4" w:space="0" w:color="FFFFFF" w:themeColor="background1"/>
        <w:insideV w:val="single" w:sz="4" w:space="0" w:color="FFFFFF" w:themeColor="background1"/>
      </w:tblBorders>
    </w:tblPr>
    <w:tcPr>
      <w:shd w:val="clear" w:color="auto" w:fill="FCF3E8" w:themeFill="accent2"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40F" w:themeFill="accent2" w:themeFillShade="99"/>
      </w:tcPr>
    </w:tblStylePr>
    <w:tblStylePr w:type="firstCol">
      <w:rPr>
        <w:color w:val="FFFFFF" w:themeColor="background1"/>
      </w:rPr>
      <w:tblPr/>
      <w:tcPr>
        <w:tcBorders>
          <w:top w:val="nil"/>
          <w:left w:val="nil"/>
          <w:bottom w:val="nil"/>
          <w:right w:val="nil"/>
          <w:insideH w:val="single" w:sz="4" w:space="0" w:color="89540F" w:themeColor="accent2" w:themeShade="99"/>
          <w:insideV w:val="nil"/>
        </w:tcBorders>
        <w:shd w:val="clear" w:color="auto" w:fill="8954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540F" w:themeFill="accent2" w:themeFillShade="99"/>
      </w:tcPr>
    </w:tblStylePr>
    <w:tblStylePr w:type="band1Vert">
      <w:tblPr/>
      <w:tcPr>
        <w:shd w:val="clear" w:color="auto" w:fill="F4D1A3" w:themeFill="accent2" w:themeFillTint="66"/>
      </w:tcPr>
    </w:tblStylePr>
    <w:tblStylePr w:type="band1Horz">
      <w:tblPr/>
      <w:tcPr>
        <w:shd w:val="clear" w:color="auto" w:fill="F2C6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B4786C" w:themeColor="accent4"/>
        <w:left w:val="single" w:sz="4" w:space="0" w:color="CDC3BD" w:themeColor="accent3"/>
        <w:bottom w:val="single" w:sz="4" w:space="0" w:color="CDC3BD" w:themeColor="accent3"/>
        <w:right w:val="single" w:sz="4" w:space="0" w:color="CDC3BD" w:themeColor="accent3"/>
        <w:insideH w:val="single" w:sz="4" w:space="0" w:color="FFFFFF" w:themeColor="background1"/>
        <w:insideV w:val="single" w:sz="4" w:space="0" w:color="FFFFFF" w:themeColor="background1"/>
      </w:tblBorders>
    </w:tblPr>
    <w:tcPr>
      <w:shd w:val="clear" w:color="auto" w:fill="FAF8F8" w:themeFill="accent3" w:themeFillTint="19"/>
    </w:tcPr>
    <w:tblStylePr w:type="firstRow">
      <w:rPr>
        <w:b/>
        <w:bCs/>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266" w:themeFill="accent3" w:themeFillShade="99"/>
      </w:tcPr>
    </w:tblStylePr>
    <w:tblStylePr w:type="firstCol">
      <w:rPr>
        <w:color w:val="FFFFFF" w:themeColor="background1"/>
      </w:rPr>
      <w:tblPr/>
      <w:tcPr>
        <w:tcBorders>
          <w:top w:val="nil"/>
          <w:left w:val="nil"/>
          <w:bottom w:val="nil"/>
          <w:right w:val="nil"/>
          <w:insideH w:val="single" w:sz="4" w:space="0" w:color="867266" w:themeColor="accent3" w:themeShade="99"/>
          <w:insideV w:val="nil"/>
        </w:tcBorders>
        <w:shd w:val="clear" w:color="auto" w:fill="8672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7266" w:themeFill="accent3" w:themeFillShade="99"/>
      </w:tcPr>
    </w:tblStylePr>
    <w:tblStylePr w:type="band1Vert">
      <w:tblPr/>
      <w:tcPr>
        <w:shd w:val="clear" w:color="auto" w:fill="EBE6E4" w:themeFill="accent3" w:themeFillTint="66"/>
      </w:tcPr>
    </w:tblStylePr>
    <w:tblStylePr w:type="band1Horz">
      <w:tblPr/>
      <w:tcPr>
        <w:shd w:val="clear" w:color="auto" w:fill="E6E0D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CDC3BD" w:themeColor="accent3"/>
        <w:left w:val="single" w:sz="4" w:space="0" w:color="B4786C" w:themeColor="accent4"/>
        <w:bottom w:val="single" w:sz="4" w:space="0" w:color="B4786C" w:themeColor="accent4"/>
        <w:right w:val="single" w:sz="4" w:space="0" w:color="B4786C" w:themeColor="accent4"/>
        <w:insideH w:val="single" w:sz="4" w:space="0" w:color="FFFFFF" w:themeColor="background1"/>
        <w:insideV w:val="single" w:sz="4" w:space="0" w:color="FFFFFF" w:themeColor="background1"/>
      </w:tblBorders>
    </w:tblPr>
    <w:tcPr>
      <w:shd w:val="clear" w:color="auto" w:fill="F7F1F0" w:themeFill="accent4" w:themeFillTint="19"/>
    </w:tcPr>
    <w:tblStylePr w:type="firstRow">
      <w:rPr>
        <w:b/>
        <w:bCs/>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433A" w:themeFill="accent4" w:themeFillShade="99"/>
      </w:tcPr>
    </w:tblStylePr>
    <w:tblStylePr w:type="firstCol">
      <w:rPr>
        <w:color w:val="FFFFFF" w:themeColor="background1"/>
      </w:rPr>
      <w:tblPr/>
      <w:tcPr>
        <w:tcBorders>
          <w:top w:val="nil"/>
          <w:left w:val="nil"/>
          <w:bottom w:val="nil"/>
          <w:right w:val="nil"/>
          <w:insideH w:val="single" w:sz="4" w:space="0" w:color="72433A" w:themeColor="accent4" w:themeShade="99"/>
          <w:insideV w:val="nil"/>
        </w:tcBorders>
        <w:shd w:val="clear" w:color="auto" w:fill="724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433A" w:themeFill="accent4" w:themeFillShade="99"/>
      </w:tcPr>
    </w:tblStylePr>
    <w:tblStylePr w:type="band1Vert">
      <w:tblPr/>
      <w:tcPr>
        <w:shd w:val="clear" w:color="auto" w:fill="E1C8C4" w:themeFill="accent4" w:themeFillTint="66"/>
      </w:tcPr>
    </w:tblStylePr>
    <w:tblStylePr w:type="band1Horz">
      <w:tblPr/>
      <w:tcPr>
        <w:shd w:val="clear" w:color="auto" w:fill="D9BB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ADB6A8" w:themeColor="accent6"/>
        <w:left w:val="single" w:sz="4" w:space="0" w:color="6E90A6" w:themeColor="accent5"/>
        <w:bottom w:val="single" w:sz="4" w:space="0" w:color="6E90A6" w:themeColor="accent5"/>
        <w:right w:val="single" w:sz="4" w:space="0" w:color="6E90A6" w:themeColor="accent5"/>
        <w:insideH w:val="single" w:sz="4" w:space="0" w:color="FFFFFF" w:themeColor="background1"/>
        <w:insideV w:val="single" w:sz="4" w:space="0" w:color="FFFFFF" w:themeColor="background1"/>
      </w:tblBorders>
    </w:tblPr>
    <w:tcPr>
      <w:shd w:val="clear" w:color="auto" w:fill="F0F4F6" w:themeFill="accent5" w:themeFillTint="19"/>
    </w:tcPr>
    <w:tblStylePr w:type="firstRow">
      <w:rPr>
        <w:b/>
        <w:bCs/>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666" w:themeFill="accent5" w:themeFillShade="99"/>
      </w:tcPr>
    </w:tblStylePr>
    <w:tblStylePr w:type="firstCol">
      <w:rPr>
        <w:color w:val="FFFFFF" w:themeColor="background1"/>
      </w:rPr>
      <w:tblPr/>
      <w:tcPr>
        <w:tcBorders>
          <w:top w:val="nil"/>
          <w:left w:val="nil"/>
          <w:bottom w:val="nil"/>
          <w:right w:val="nil"/>
          <w:insideH w:val="single" w:sz="4" w:space="0" w:color="3F5666" w:themeColor="accent5" w:themeShade="99"/>
          <w:insideV w:val="nil"/>
        </w:tcBorders>
        <w:shd w:val="clear" w:color="auto" w:fill="3F56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666" w:themeFill="accent5" w:themeFillShade="99"/>
      </w:tcPr>
    </w:tblStylePr>
    <w:tblStylePr w:type="band1Vert">
      <w:tblPr/>
      <w:tcPr>
        <w:shd w:val="clear" w:color="auto" w:fill="C4D2DB" w:themeFill="accent5" w:themeFillTint="66"/>
      </w:tcPr>
    </w:tblStylePr>
    <w:tblStylePr w:type="band1Horz">
      <w:tblPr/>
      <w:tcPr>
        <w:shd w:val="clear" w:color="auto" w:fill="B6C7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6E90A6" w:themeColor="accent5"/>
        <w:left w:val="single" w:sz="4" w:space="0" w:color="ADB6A8" w:themeColor="accent6"/>
        <w:bottom w:val="single" w:sz="4" w:space="0" w:color="ADB6A8" w:themeColor="accent6"/>
        <w:right w:val="single" w:sz="4" w:space="0" w:color="ADB6A8" w:themeColor="accent6"/>
        <w:insideH w:val="single" w:sz="4" w:space="0" w:color="FFFFFF" w:themeColor="background1"/>
        <w:insideV w:val="single" w:sz="4" w:space="0" w:color="FFFFFF" w:themeColor="background1"/>
      </w:tblBorders>
    </w:tblPr>
    <w:tcPr>
      <w:shd w:val="clear" w:color="auto" w:fill="F6F7F6" w:themeFill="accent6" w:themeFillTint="19"/>
    </w:tcPr>
    <w:tblStylePr w:type="firstRow">
      <w:rPr>
        <w:b/>
        <w:bCs/>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260" w:themeFill="accent6" w:themeFillShade="99"/>
      </w:tcPr>
    </w:tblStylePr>
    <w:tblStylePr w:type="firstCol">
      <w:rPr>
        <w:color w:val="FFFFFF" w:themeColor="background1"/>
      </w:rPr>
      <w:tblPr/>
      <w:tcPr>
        <w:tcBorders>
          <w:top w:val="nil"/>
          <w:left w:val="nil"/>
          <w:bottom w:val="nil"/>
          <w:right w:val="nil"/>
          <w:insideH w:val="single" w:sz="4" w:space="0" w:color="667260" w:themeColor="accent6" w:themeShade="99"/>
          <w:insideV w:val="nil"/>
        </w:tcBorders>
        <w:shd w:val="clear" w:color="auto" w:fill="6672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260" w:themeFill="accent6" w:themeFillShade="99"/>
      </w:tcPr>
    </w:tblStylePr>
    <w:tblStylePr w:type="band1Vert">
      <w:tblPr/>
      <w:tcPr>
        <w:shd w:val="clear" w:color="auto" w:fill="DEE1DC" w:themeFill="accent6" w:themeFillTint="66"/>
      </w:tcPr>
    </w:tblStylePr>
    <w:tblStylePr w:type="band1Horz">
      <w:tblPr/>
      <w:tcPr>
        <w:shd w:val="clear" w:color="auto" w:fill="D5DAD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5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50" w:themeFill="accent1" w:themeFillShade="BF"/>
      </w:tcPr>
    </w:tblStylePr>
    <w:tblStylePr w:type="band1Vert">
      <w:tblPr/>
      <w:tcPr>
        <w:tcBorders>
          <w:top w:val="nil"/>
          <w:left w:val="nil"/>
          <w:bottom w:val="nil"/>
          <w:right w:val="nil"/>
          <w:insideH w:val="nil"/>
          <w:insideV w:val="nil"/>
        </w:tcBorders>
        <w:shd w:val="clear" w:color="auto" w:fill="003350" w:themeFill="accent1" w:themeFillShade="BF"/>
      </w:tcPr>
    </w:tblStylePr>
    <w:tblStylePr w:type="band1Horz">
      <w:tblPr/>
      <w:tcPr>
        <w:tcBorders>
          <w:top w:val="nil"/>
          <w:left w:val="nil"/>
          <w:bottom w:val="nil"/>
          <w:right w:val="nil"/>
          <w:insideH w:val="nil"/>
          <w:insideV w:val="nil"/>
        </w:tcBorders>
        <w:shd w:val="clear" w:color="auto" w:fill="00335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58E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6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6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6913" w:themeFill="accent2" w:themeFillShade="BF"/>
      </w:tcPr>
    </w:tblStylePr>
    <w:tblStylePr w:type="band1Vert">
      <w:tblPr/>
      <w:tcPr>
        <w:tcBorders>
          <w:top w:val="nil"/>
          <w:left w:val="nil"/>
          <w:bottom w:val="nil"/>
          <w:right w:val="nil"/>
          <w:insideH w:val="nil"/>
          <w:insideV w:val="nil"/>
        </w:tcBorders>
        <w:shd w:val="clear" w:color="auto" w:fill="AB6913" w:themeFill="accent2" w:themeFillShade="BF"/>
      </w:tcPr>
    </w:tblStylePr>
    <w:tblStylePr w:type="band1Horz">
      <w:tblPr/>
      <w:tcPr>
        <w:tcBorders>
          <w:top w:val="nil"/>
          <w:left w:val="nil"/>
          <w:bottom w:val="nil"/>
          <w:right w:val="nil"/>
          <w:insideH w:val="nil"/>
          <w:insideV w:val="nil"/>
        </w:tcBorders>
        <w:shd w:val="clear" w:color="auto" w:fill="AB6913"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CDC3B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8F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8F84" w:themeFill="accent3" w:themeFillShade="BF"/>
      </w:tcPr>
    </w:tblStylePr>
    <w:tblStylePr w:type="band1Vert">
      <w:tblPr/>
      <w:tcPr>
        <w:tcBorders>
          <w:top w:val="nil"/>
          <w:left w:val="nil"/>
          <w:bottom w:val="nil"/>
          <w:right w:val="nil"/>
          <w:insideH w:val="nil"/>
          <w:insideV w:val="nil"/>
        </w:tcBorders>
        <w:shd w:val="clear" w:color="auto" w:fill="A28F84" w:themeFill="accent3" w:themeFillShade="BF"/>
      </w:tcPr>
    </w:tblStylePr>
    <w:tblStylePr w:type="band1Horz">
      <w:tblPr/>
      <w:tcPr>
        <w:tcBorders>
          <w:top w:val="nil"/>
          <w:left w:val="nil"/>
          <w:bottom w:val="nil"/>
          <w:right w:val="nil"/>
          <w:insideH w:val="nil"/>
          <w:insideV w:val="nil"/>
        </w:tcBorders>
        <w:shd w:val="clear" w:color="auto" w:fill="A28F8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78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38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54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5449" w:themeFill="accent4" w:themeFillShade="BF"/>
      </w:tcPr>
    </w:tblStylePr>
    <w:tblStylePr w:type="band1Vert">
      <w:tblPr/>
      <w:tcPr>
        <w:tcBorders>
          <w:top w:val="nil"/>
          <w:left w:val="nil"/>
          <w:bottom w:val="nil"/>
          <w:right w:val="nil"/>
          <w:insideH w:val="nil"/>
          <w:insideV w:val="nil"/>
        </w:tcBorders>
        <w:shd w:val="clear" w:color="auto" w:fill="8E5449" w:themeFill="accent4" w:themeFillShade="BF"/>
      </w:tcPr>
    </w:tblStylePr>
    <w:tblStylePr w:type="band1Horz">
      <w:tblPr/>
      <w:tcPr>
        <w:tcBorders>
          <w:top w:val="nil"/>
          <w:left w:val="nil"/>
          <w:bottom w:val="nil"/>
          <w:right w:val="nil"/>
          <w:insideH w:val="nil"/>
          <w:insideV w:val="nil"/>
        </w:tcBorders>
        <w:shd w:val="clear" w:color="auto" w:fill="8E5449"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6E90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6C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6C80" w:themeFill="accent5" w:themeFillShade="BF"/>
      </w:tcPr>
    </w:tblStylePr>
    <w:tblStylePr w:type="band1Vert">
      <w:tblPr/>
      <w:tcPr>
        <w:tcBorders>
          <w:top w:val="nil"/>
          <w:left w:val="nil"/>
          <w:bottom w:val="nil"/>
          <w:right w:val="nil"/>
          <w:insideH w:val="nil"/>
          <w:insideV w:val="nil"/>
        </w:tcBorders>
        <w:shd w:val="clear" w:color="auto" w:fill="4E6C80" w:themeFill="accent5" w:themeFillShade="BF"/>
      </w:tcPr>
    </w:tblStylePr>
    <w:tblStylePr w:type="band1Horz">
      <w:tblPr/>
      <w:tcPr>
        <w:tcBorders>
          <w:top w:val="nil"/>
          <w:left w:val="nil"/>
          <w:bottom w:val="nil"/>
          <w:right w:val="nil"/>
          <w:insideH w:val="nil"/>
          <w:insideV w:val="nil"/>
        </w:tcBorders>
        <w:shd w:val="clear" w:color="auto" w:fill="4E6C8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ADB6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E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D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D78" w:themeFill="accent6" w:themeFillShade="BF"/>
      </w:tcPr>
    </w:tblStylePr>
    <w:tblStylePr w:type="band1Vert">
      <w:tblPr/>
      <w:tcPr>
        <w:tcBorders>
          <w:top w:val="nil"/>
          <w:left w:val="nil"/>
          <w:bottom w:val="nil"/>
          <w:right w:val="nil"/>
          <w:insideH w:val="nil"/>
          <w:insideV w:val="nil"/>
        </w:tcBorders>
        <w:shd w:val="clear" w:color="auto" w:fill="7F8D78" w:themeFill="accent6" w:themeFillShade="BF"/>
      </w:tcPr>
    </w:tblStylePr>
    <w:tblStylePr w:type="band1Horz">
      <w:tblPr/>
      <w:tcPr>
        <w:tcBorders>
          <w:top w:val="nil"/>
          <w:left w:val="nil"/>
          <w:bottom w:val="nil"/>
          <w:right w:val="nil"/>
          <w:insideH w:val="nil"/>
          <w:insideV w:val="nil"/>
        </w:tcBorders>
        <w:shd w:val="clear" w:color="auto" w:fill="7F8D78"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91AD9"/>
    <w:rPr>
      <w:noProof w:val="0"/>
      <w:color w:val="954F72"/>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rsid w:val="00E405DE"/>
    <w:rPr>
      <w:rFonts w:asciiTheme="majorHAnsi" w:eastAsiaTheme="majorEastAsia" w:hAnsiTheme="majorHAnsi" w:cstheme="majorBidi"/>
      <w:b/>
      <w:sz w:val="28"/>
    </w:rPr>
  </w:style>
  <w:style w:type="character" w:customStyle="1" w:styleId="Heading6Char">
    <w:name w:val="Heading 6 Char"/>
    <w:basedOn w:val="DefaultParagraphFont"/>
    <w:link w:val="Heading6"/>
    <w:uiPriority w:val="9"/>
    <w:semiHidden/>
    <w:rsid w:val="00C8274D"/>
    <w:rPr>
      <w:rFonts w:asciiTheme="majorHAnsi" w:eastAsiaTheme="majorEastAsia" w:hAnsiTheme="majorHAnsi" w:cstheme="majorBidi"/>
      <w:i/>
      <w:iCs/>
      <w:color w:val="002235" w:themeColor="accent1" w:themeShade="7F"/>
    </w:rPr>
  </w:style>
  <w:style w:type="character" w:customStyle="1" w:styleId="Heading7Char">
    <w:name w:val="Heading 7 Char"/>
    <w:basedOn w:val="DefaultParagraphFont"/>
    <w:link w:val="Heading7"/>
    <w:uiPriority w:val="9"/>
    <w:semiHidden/>
    <w:rsid w:val="00C82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2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274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0456B"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0456B" w:themeColor="accent1"/>
      </w:pBdr>
      <w:spacing w:before="200" w:after="280"/>
      <w:ind w:left="936" w:right="936"/>
    </w:pPr>
    <w:rPr>
      <w:b/>
      <w:bCs/>
      <w:i/>
      <w:iCs/>
      <w:color w:val="00456B" w:themeColor="accent1"/>
    </w:rPr>
  </w:style>
  <w:style w:type="character" w:customStyle="1" w:styleId="IntenseQuoteChar">
    <w:name w:val="Intense Quote Char"/>
    <w:basedOn w:val="DefaultParagraphFont"/>
    <w:link w:val="IntenseQuote"/>
    <w:uiPriority w:val="30"/>
    <w:semiHidden/>
    <w:rsid w:val="00F80750"/>
    <w:rPr>
      <w:b/>
      <w:bCs/>
      <w:i/>
      <w:iCs/>
      <w:noProof w:val="0"/>
      <w:color w:val="00456B" w:themeColor="accent1"/>
      <w:lang w:val="en-AU"/>
    </w:rPr>
  </w:style>
  <w:style w:type="character" w:styleId="IntenseReference">
    <w:name w:val="Intense Reference"/>
    <w:basedOn w:val="DefaultParagraphFont"/>
    <w:uiPriority w:val="32"/>
    <w:semiHidden/>
    <w:qFormat/>
    <w:locked/>
    <w:rsid w:val="00F80750"/>
    <w:rPr>
      <w:b/>
      <w:bCs/>
      <w:smallCaps/>
      <w:noProof w:val="0"/>
      <w:color w:val="E58E1A"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18" w:space="0" w:color="00456B" w:themeColor="accent1"/>
          <w:right w:val="single" w:sz="8" w:space="0" w:color="00456B" w:themeColor="accent1"/>
          <w:insideH w:val="nil"/>
          <w:insideV w:val="single" w:sz="8" w:space="0" w:color="004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insideH w:val="nil"/>
          <w:insideV w:val="single" w:sz="8" w:space="0" w:color="004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shd w:val="clear" w:color="auto" w:fill="9BDBFF" w:themeFill="accent1" w:themeFillTint="3F"/>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shd w:val="clear" w:color="auto" w:fill="9BDBFF" w:themeFill="accent1" w:themeFillTint="3F"/>
      </w:tcPr>
    </w:tblStylePr>
    <w:tblStylePr w:type="band2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18" w:space="0" w:color="E58E1A" w:themeColor="accent2"/>
          <w:right w:val="single" w:sz="8" w:space="0" w:color="E58E1A" w:themeColor="accent2"/>
          <w:insideH w:val="nil"/>
          <w:insideV w:val="single" w:sz="8" w:space="0" w:color="E58E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insideH w:val="nil"/>
          <w:insideV w:val="single" w:sz="8" w:space="0" w:color="E58E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shd w:val="clear" w:color="auto" w:fill="F8E2C6" w:themeFill="accent2" w:themeFillTint="3F"/>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shd w:val="clear" w:color="auto" w:fill="F8E2C6" w:themeFill="accent2" w:themeFillTint="3F"/>
      </w:tcPr>
    </w:tblStylePr>
    <w:tblStylePr w:type="band2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18" w:space="0" w:color="CDC3BD" w:themeColor="accent3"/>
          <w:right w:val="single" w:sz="8" w:space="0" w:color="CDC3BD" w:themeColor="accent3"/>
          <w:insideH w:val="nil"/>
          <w:insideV w:val="single" w:sz="8" w:space="0" w:color="CDC3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insideH w:val="nil"/>
          <w:insideV w:val="single" w:sz="8" w:space="0" w:color="CDC3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shd w:val="clear" w:color="auto" w:fill="F2F0EE" w:themeFill="accent3" w:themeFillTint="3F"/>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shd w:val="clear" w:color="auto" w:fill="F2F0EE" w:themeFill="accent3" w:themeFillTint="3F"/>
      </w:tcPr>
    </w:tblStylePr>
    <w:tblStylePr w:type="band2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18" w:space="0" w:color="B4786C" w:themeColor="accent4"/>
          <w:right w:val="single" w:sz="8" w:space="0" w:color="B4786C" w:themeColor="accent4"/>
          <w:insideH w:val="nil"/>
          <w:insideV w:val="single" w:sz="8" w:space="0" w:color="B478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insideH w:val="nil"/>
          <w:insideV w:val="single" w:sz="8" w:space="0" w:color="B478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shd w:val="clear" w:color="auto" w:fill="ECDDDA" w:themeFill="accent4" w:themeFillTint="3F"/>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shd w:val="clear" w:color="auto" w:fill="ECDDDA" w:themeFill="accent4" w:themeFillTint="3F"/>
      </w:tcPr>
    </w:tblStylePr>
    <w:tblStylePr w:type="band2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18" w:space="0" w:color="6E90A6" w:themeColor="accent5"/>
          <w:right w:val="single" w:sz="8" w:space="0" w:color="6E90A6" w:themeColor="accent5"/>
          <w:insideH w:val="nil"/>
          <w:insideV w:val="single" w:sz="8" w:space="0" w:color="6E90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insideH w:val="nil"/>
          <w:insideV w:val="single" w:sz="8" w:space="0" w:color="6E90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shd w:val="clear" w:color="auto" w:fill="DBE3E9" w:themeFill="accent5" w:themeFillTint="3F"/>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shd w:val="clear" w:color="auto" w:fill="DBE3E9" w:themeFill="accent5" w:themeFillTint="3F"/>
      </w:tcPr>
    </w:tblStylePr>
    <w:tblStylePr w:type="band2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18" w:space="0" w:color="ADB6A8" w:themeColor="accent6"/>
          <w:right w:val="single" w:sz="8" w:space="0" w:color="ADB6A8" w:themeColor="accent6"/>
          <w:insideH w:val="nil"/>
          <w:insideV w:val="single" w:sz="8" w:space="0" w:color="ADB6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insideH w:val="nil"/>
          <w:insideV w:val="single" w:sz="8" w:space="0" w:color="ADB6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shd w:val="clear" w:color="auto" w:fill="EAEDE9" w:themeFill="accent6" w:themeFillTint="3F"/>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shd w:val="clear" w:color="auto" w:fill="EAEDE9" w:themeFill="accent6" w:themeFillTint="3F"/>
      </w:tcPr>
    </w:tblStylePr>
    <w:tblStylePr w:type="band2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pPr>
        <w:spacing w:before="0" w:after="0" w:line="240" w:lineRule="auto"/>
      </w:pPr>
      <w:rPr>
        <w:b/>
        <w:bCs/>
        <w:color w:val="FFFFFF" w:themeColor="background1"/>
      </w:rPr>
      <w:tblPr/>
      <w:tcPr>
        <w:shd w:val="clear" w:color="auto" w:fill="00456B" w:themeFill="accent1"/>
      </w:tcPr>
    </w:tblStylePr>
    <w:tblStylePr w:type="lastRow">
      <w:pPr>
        <w:spacing w:before="0" w:after="0" w:line="240" w:lineRule="auto"/>
      </w:pPr>
      <w:rPr>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tcBorders>
      </w:tcPr>
    </w:tblStylePr>
    <w:tblStylePr w:type="firstCol">
      <w:rPr>
        <w:b/>
        <w:bCs/>
      </w:rPr>
    </w:tblStylePr>
    <w:tblStylePr w:type="lastCol">
      <w:rPr>
        <w:b/>
        <w:bCs/>
      </w:r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pPr>
        <w:spacing w:before="0" w:after="0" w:line="240" w:lineRule="auto"/>
      </w:pPr>
      <w:rPr>
        <w:b/>
        <w:bCs/>
        <w:color w:val="FFFFFF" w:themeColor="background1"/>
      </w:rPr>
      <w:tblPr/>
      <w:tcPr>
        <w:shd w:val="clear" w:color="auto" w:fill="E58E1A" w:themeFill="accent2"/>
      </w:tcPr>
    </w:tblStylePr>
    <w:tblStylePr w:type="lastRow">
      <w:pPr>
        <w:spacing w:before="0" w:after="0" w:line="240" w:lineRule="auto"/>
      </w:pPr>
      <w:rPr>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tcBorders>
      </w:tcPr>
    </w:tblStylePr>
    <w:tblStylePr w:type="firstCol">
      <w:rPr>
        <w:b/>
        <w:bCs/>
      </w:rPr>
    </w:tblStylePr>
    <w:tblStylePr w:type="lastCol">
      <w:rPr>
        <w:b/>
        <w:bCs/>
      </w:r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pPr>
        <w:spacing w:before="0" w:after="0" w:line="240" w:lineRule="auto"/>
      </w:pPr>
      <w:rPr>
        <w:b/>
        <w:bCs/>
        <w:color w:val="FFFFFF" w:themeColor="background1"/>
      </w:rPr>
      <w:tblPr/>
      <w:tcPr>
        <w:shd w:val="clear" w:color="auto" w:fill="CDC3BD" w:themeFill="accent3"/>
      </w:tcPr>
    </w:tblStylePr>
    <w:tblStylePr w:type="lastRow">
      <w:pPr>
        <w:spacing w:before="0" w:after="0" w:line="240" w:lineRule="auto"/>
      </w:pPr>
      <w:rPr>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tcBorders>
      </w:tcPr>
    </w:tblStylePr>
    <w:tblStylePr w:type="firstCol">
      <w:rPr>
        <w:b/>
        <w:bCs/>
      </w:rPr>
    </w:tblStylePr>
    <w:tblStylePr w:type="lastCol">
      <w:rPr>
        <w:b/>
        <w:bCs/>
      </w:r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pPr>
        <w:spacing w:before="0" w:after="0" w:line="240" w:lineRule="auto"/>
      </w:pPr>
      <w:rPr>
        <w:b/>
        <w:bCs/>
        <w:color w:val="FFFFFF" w:themeColor="background1"/>
      </w:rPr>
      <w:tblPr/>
      <w:tcPr>
        <w:shd w:val="clear" w:color="auto" w:fill="B4786C" w:themeFill="accent4"/>
      </w:tcPr>
    </w:tblStylePr>
    <w:tblStylePr w:type="lastRow">
      <w:pPr>
        <w:spacing w:before="0" w:after="0" w:line="240" w:lineRule="auto"/>
      </w:pPr>
      <w:rPr>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tcBorders>
      </w:tcPr>
    </w:tblStylePr>
    <w:tblStylePr w:type="firstCol">
      <w:rPr>
        <w:b/>
        <w:bCs/>
      </w:rPr>
    </w:tblStylePr>
    <w:tblStylePr w:type="lastCol">
      <w:rPr>
        <w:b/>
        <w:bCs/>
      </w:r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pPr>
        <w:spacing w:before="0" w:after="0" w:line="240" w:lineRule="auto"/>
      </w:pPr>
      <w:rPr>
        <w:b/>
        <w:bCs/>
        <w:color w:val="FFFFFF" w:themeColor="background1"/>
      </w:rPr>
      <w:tblPr/>
      <w:tcPr>
        <w:shd w:val="clear" w:color="auto" w:fill="6E90A6" w:themeFill="accent5"/>
      </w:tcPr>
    </w:tblStylePr>
    <w:tblStylePr w:type="lastRow">
      <w:pPr>
        <w:spacing w:before="0" w:after="0" w:line="240" w:lineRule="auto"/>
      </w:pPr>
      <w:rPr>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tcBorders>
      </w:tcPr>
    </w:tblStylePr>
    <w:tblStylePr w:type="firstCol">
      <w:rPr>
        <w:b/>
        <w:bCs/>
      </w:rPr>
    </w:tblStylePr>
    <w:tblStylePr w:type="lastCol">
      <w:rPr>
        <w:b/>
        <w:bCs/>
      </w:r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pPr>
        <w:spacing w:before="0" w:after="0" w:line="240" w:lineRule="auto"/>
      </w:pPr>
      <w:rPr>
        <w:b/>
        <w:bCs/>
        <w:color w:val="FFFFFF" w:themeColor="background1"/>
      </w:rPr>
      <w:tblPr/>
      <w:tcPr>
        <w:shd w:val="clear" w:color="auto" w:fill="ADB6A8" w:themeFill="accent6"/>
      </w:tcPr>
    </w:tblStylePr>
    <w:tblStylePr w:type="lastRow">
      <w:pPr>
        <w:spacing w:before="0" w:after="0" w:line="240" w:lineRule="auto"/>
      </w:pPr>
      <w:rPr>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tcBorders>
      </w:tcPr>
    </w:tblStylePr>
    <w:tblStylePr w:type="firstCol">
      <w:rPr>
        <w:b/>
        <w:bCs/>
      </w:rPr>
    </w:tblStylePr>
    <w:tblStylePr w:type="lastCol">
      <w:rPr>
        <w:b/>
        <w:bCs/>
      </w:r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03350" w:themeColor="accent1" w:themeShade="BF"/>
    </w:rPr>
    <w:tblPr>
      <w:tblStyleRowBandSize w:val="1"/>
      <w:tblStyleColBandSize w:val="1"/>
      <w:tblBorders>
        <w:top w:val="single" w:sz="8" w:space="0" w:color="00456B" w:themeColor="accent1"/>
        <w:bottom w:val="single" w:sz="8" w:space="0" w:color="00456B" w:themeColor="accent1"/>
      </w:tblBorders>
    </w:tblPr>
    <w:tblStylePr w:type="fir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la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left w:val="nil"/>
          <w:right w:val="nil"/>
          <w:insideH w:val="nil"/>
          <w:insideV w:val="nil"/>
        </w:tcBorders>
        <w:shd w:val="clear" w:color="auto" w:fill="9BDBFF" w:themeFill="accent1" w:themeFillTint="3F"/>
      </w:tcPr>
    </w:tblStylePr>
  </w:style>
  <w:style w:type="table" w:styleId="LightShading-Accent2">
    <w:name w:val="Light Shading Accent 2"/>
    <w:basedOn w:val="TableNormal"/>
    <w:uiPriority w:val="60"/>
    <w:locked/>
    <w:rsid w:val="00F80750"/>
    <w:pPr>
      <w:spacing w:after="0" w:line="240" w:lineRule="auto"/>
    </w:pPr>
    <w:rPr>
      <w:color w:val="AB6913" w:themeColor="accent2" w:themeShade="BF"/>
    </w:rPr>
    <w:tblPr>
      <w:tblStyleRowBandSize w:val="1"/>
      <w:tblStyleColBandSize w:val="1"/>
      <w:tblBorders>
        <w:top w:val="single" w:sz="8" w:space="0" w:color="E58E1A" w:themeColor="accent2"/>
        <w:bottom w:val="single" w:sz="8" w:space="0" w:color="E58E1A" w:themeColor="accent2"/>
      </w:tblBorders>
    </w:tblPr>
    <w:tblStylePr w:type="fir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la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left w:val="nil"/>
          <w:right w:val="nil"/>
          <w:insideH w:val="nil"/>
          <w:insideV w:val="nil"/>
        </w:tcBorders>
        <w:shd w:val="clear" w:color="auto" w:fill="F8E2C6" w:themeFill="accent2" w:themeFillTint="3F"/>
      </w:tcPr>
    </w:tblStylePr>
  </w:style>
  <w:style w:type="table" w:styleId="LightShading-Accent3">
    <w:name w:val="Light Shading Accent 3"/>
    <w:basedOn w:val="TableNormal"/>
    <w:uiPriority w:val="60"/>
    <w:locked/>
    <w:rsid w:val="00F80750"/>
    <w:pPr>
      <w:spacing w:after="0" w:line="240" w:lineRule="auto"/>
    </w:pPr>
    <w:rPr>
      <w:color w:val="A28F84" w:themeColor="accent3" w:themeShade="BF"/>
    </w:rPr>
    <w:tblPr>
      <w:tblStyleRowBandSize w:val="1"/>
      <w:tblStyleColBandSize w:val="1"/>
      <w:tblBorders>
        <w:top w:val="single" w:sz="8" w:space="0" w:color="CDC3BD" w:themeColor="accent3"/>
        <w:bottom w:val="single" w:sz="8" w:space="0" w:color="CDC3BD" w:themeColor="accent3"/>
      </w:tblBorders>
    </w:tblPr>
    <w:tblStylePr w:type="fir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la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left w:val="nil"/>
          <w:right w:val="nil"/>
          <w:insideH w:val="nil"/>
          <w:insideV w:val="nil"/>
        </w:tcBorders>
        <w:shd w:val="clear" w:color="auto" w:fill="F2F0EE" w:themeFill="accent3" w:themeFillTint="3F"/>
      </w:tcPr>
    </w:tblStylePr>
  </w:style>
  <w:style w:type="table" w:styleId="LightShading-Accent4">
    <w:name w:val="Light Shading Accent 4"/>
    <w:basedOn w:val="TableNormal"/>
    <w:uiPriority w:val="60"/>
    <w:locked/>
    <w:rsid w:val="00F80750"/>
    <w:pPr>
      <w:spacing w:after="0" w:line="240" w:lineRule="auto"/>
    </w:pPr>
    <w:rPr>
      <w:color w:val="8E5449" w:themeColor="accent4" w:themeShade="BF"/>
    </w:rPr>
    <w:tblPr>
      <w:tblStyleRowBandSize w:val="1"/>
      <w:tblStyleColBandSize w:val="1"/>
      <w:tblBorders>
        <w:top w:val="single" w:sz="8" w:space="0" w:color="B4786C" w:themeColor="accent4"/>
        <w:bottom w:val="single" w:sz="8" w:space="0" w:color="B4786C" w:themeColor="accent4"/>
      </w:tblBorders>
    </w:tblPr>
    <w:tblStylePr w:type="fir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la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left w:val="nil"/>
          <w:right w:val="nil"/>
          <w:insideH w:val="nil"/>
          <w:insideV w:val="nil"/>
        </w:tcBorders>
        <w:shd w:val="clear" w:color="auto" w:fill="ECDDDA" w:themeFill="accent4" w:themeFillTint="3F"/>
      </w:tcPr>
    </w:tblStylePr>
  </w:style>
  <w:style w:type="table" w:styleId="LightShading-Accent5">
    <w:name w:val="Light Shading Accent 5"/>
    <w:basedOn w:val="TableNormal"/>
    <w:uiPriority w:val="60"/>
    <w:locked/>
    <w:rsid w:val="00F80750"/>
    <w:pPr>
      <w:spacing w:after="0" w:line="240" w:lineRule="auto"/>
    </w:pPr>
    <w:rPr>
      <w:color w:val="4E6C80" w:themeColor="accent5" w:themeShade="BF"/>
    </w:rPr>
    <w:tblPr>
      <w:tblStyleRowBandSize w:val="1"/>
      <w:tblStyleColBandSize w:val="1"/>
      <w:tblBorders>
        <w:top w:val="single" w:sz="8" w:space="0" w:color="6E90A6" w:themeColor="accent5"/>
        <w:bottom w:val="single" w:sz="8" w:space="0" w:color="6E90A6" w:themeColor="accent5"/>
      </w:tblBorders>
    </w:tblPr>
    <w:tblStylePr w:type="fir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la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left w:val="nil"/>
          <w:right w:val="nil"/>
          <w:insideH w:val="nil"/>
          <w:insideV w:val="nil"/>
        </w:tcBorders>
        <w:shd w:val="clear" w:color="auto" w:fill="DBE3E9" w:themeFill="accent5" w:themeFillTint="3F"/>
      </w:tcPr>
    </w:tblStylePr>
  </w:style>
  <w:style w:type="table" w:styleId="LightShading-Accent6">
    <w:name w:val="Light Shading Accent 6"/>
    <w:basedOn w:val="TableNormal"/>
    <w:uiPriority w:val="60"/>
    <w:locked/>
    <w:rsid w:val="00F80750"/>
    <w:pPr>
      <w:spacing w:after="0" w:line="240" w:lineRule="auto"/>
    </w:pPr>
    <w:rPr>
      <w:color w:val="7F8D78" w:themeColor="accent6" w:themeShade="BF"/>
    </w:rPr>
    <w:tblPr>
      <w:tblStyleRowBandSize w:val="1"/>
      <w:tblStyleColBandSize w:val="1"/>
      <w:tblBorders>
        <w:top w:val="single" w:sz="8" w:space="0" w:color="ADB6A8" w:themeColor="accent6"/>
        <w:bottom w:val="single" w:sz="8" w:space="0" w:color="ADB6A8" w:themeColor="accent6"/>
      </w:tblBorders>
    </w:tblPr>
    <w:tblStylePr w:type="fir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la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left w:val="nil"/>
          <w:right w:val="nil"/>
          <w:insideH w:val="nil"/>
          <w:insideV w:val="nil"/>
        </w:tcBorders>
        <w:shd w:val="clear" w:color="auto" w:fill="EAEDE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17"/>
    <w:qFormat/>
    <w:rsid w:val="00304932"/>
    <w:pPr>
      <w:numPr>
        <w:numId w:val="12"/>
      </w:numPr>
    </w:pPr>
  </w:style>
  <w:style w:type="paragraph" w:styleId="ListContinue2">
    <w:name w:val="List Continue 2"/>
    <w:basedOn w:val="Normal"/>
    <w:uiPriority w:val="17"/>
    <w:qFormat/>
    <w:rsid w:val="00304932"/>
    <w:pPr>
      <w:numPr>
        <w:ilvl w:val="1"/>
        <w:numId w:val="12"/>
      </w:numPr>
    </w:pPr>
  </w:style>
  <w:style w:type="paragraph" w:styleId="ListContinue3">
    <w:name w:val="List Continue 3"/>
    <w:basedOn w:val="Normal"/>
    <w:uiPriority w:val="17"/>
    <w:qFormat/>
    <w:rsid w:val="00304932"/>
    <w:pPr>
      <w:numPr>
        <w:ilvl w:val="2"/>
        <w:numId w:val="12"/>
      </w:numPr>
      <w:tabs>
        <w:tab w:val="clear" w:pos="5966"/>
        <w:tab w:val="num" w:pos="2155"/>
      </w:tabs>
      <w:ind w:left="2155"/>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16"/>
    <w:semiHidden/>
    <w:locked/>
    <w:rsid w:val="00F80750"/>
    <w:pPr>
      <w:numPr>
        <w:numId w:val="6"/>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insideV w:val="single" w:sz="8" w:space="0" w:color="0085D0" w:themeColor="accent1" w:themeTint="BF"/>
      </w:tblBorders>
    </w:tblPr>
    <w:tcPr>
      <w:shd w:val="clear" w:color="auto" w:fill="9BDBFF" w:themeFill="accent1" w:themeFillTint="3F"/>
    </w:tcPr>
    <w:tblStylePr w:type="firstRow">
      <w:rPr>
        <w:b/>
        <w:bCs/>
      </w:rPr>
    </w:tblStylePr>
    <w:tblStylePr w:type="lastRow">
      <w:rPr>
        <w:b/>
        <w:bCs/>
      </w:rPr>
      <w:tblPr/>
      <w:tcPr>
        <w:tcBorders>
          <w:top w:val="single" w:sz="18" w:space="0" w:color="0085D0" w:themeColor="accent1" w:themeTint="BF"/>
        </w:tcBorders>
      </w:tcPr>
    </w:tblStylePr>
    <w:tblStylePr w:type="firstCol">
      <w:rPr>
        <w:b/>
        <w:bCs/>
      </w:rPr>
    </w:tblStylePr>
    <w:tblStylePr w:type="lastCol">
      <w:rPr>
        <w:b/>
        <w:bCs/>
      </w:r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insideV w:val="single" w:sz="8" w:space="0" w:color="EBA953" w:themeColor="accent2" w:themeTint="BF"/>
      </w:tblBorders>
    </w:tblPr>
    <w:tcPr>
      <w:shd w:val="clear" w:color="auto" w:fill="F8E2C6" w:themeFill="accent2" w:themeFillTint="3F"/>
    </w:tcPr>
    <w:tblStylePr w:type="firstRow">
      <w:rPr>
        <w:b/>
        <w:bCs/>
      </w:rPr>
    </w:tblStylePr>
    <w:tblStylePr w:type="lastRow">
      <w:rPr>
        <w:b/>
        <w:bCs/>
      </w:rPr>
      <w:tblPr/>
      <w:tcPr>
        <w:tcBorders>
          <w:top w:val="single" w:sz="18" w:space="0" w:color="EBA953" w:themeColor="accent2" w:themeTint="BF"/>
        </w:tcBorders>
      </w:tcPr>
    </w:tblStylePr>
    <w:tblStylePr w:type="firstCol">
      <w:rPr>
        <w:b/>
        <w:bCs/>
      </w:rPr>
    </w:tblStylePr>
    <w:tblStylePr w:type="lastCol">
      <w:rPr>
        <w:b/>
        <w:bCs/>
      </w:r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insideV w:val="single" w:sz="8" w:space="0" w:color="D9D1CD" w:themeColor="accent3" w:themeTint="BF"/>
      </w:tblBorders>
    </w:tblPr>
    <w:tcPr>
      <w:shd w:val="clear" w:color="auto" w:fill="F2F0EE" w:themeFill="accent3" w:themeFillTint="3F"/>
    </w:tcPr>
    <w:tblStylePr w:type="firstRow">
      <w:rPr>
        <w:b/>
        <w:bCs/>
      </w:rPr>
    </w:tblStylePr>
    <w:tblStylePr w:type="lastRow">
      <w:rPr>
        <w:b/>
        <w:bCs/>
      </w:rPr>
      <w:tblPr/>
      <w:tcPr>
        <w:tcBorders>
          <w:top w:val="single" w:sz="18" w:space="0" w:color="D9D1CD" w:themeColor="accent3" w:themeTint="BF"/>
        </w:tcBorders>
      </w:tcPr>
    </w:tblStylePr>
    <w:tblStylePr w:type="firstCol">
      <w:rPr>
        <w:b/>
        <w:bCs/>
      </w:rPr>
    </w:tblStylePr>
    <w:tblStylePr w:type="lastCol">
      <w:rPr>
        <w:b/>
        <w:bCs/>
      </w:r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insideV w:val="single" w:sz="8" w:space="0" w:color="C69990" w:themeColor="accent4" w:themeTint="BF"/>
      </w:tblBorders>
    </w:tblPr>
    <w:tcPr>
      <w:shd w:val="clear" w:color="auto" w:fill="ECDDDA" w:themeFill="accent4" w:themeFillTint="3F"/>
    </w:tcPr>
    <w:tblStylePr w:type="firstRow">
      <w:rPr>
        <w:b/>
        <w:bCs/>
      </w:rPr>
    </w:tblStylePr>
    <w:tblStylePr w:type="lastRow">
      <w:rPr>
        <w:b/>
        <w:bCs/>
      </w:rPr>
      <w:tblPr/>
      <w:tcPr>
        <w:tcBorders>
          <w:top w:val="single" w:sz="18" w:space="0" w:color="C69990" w:themeColor="accent4" w:themeTint="BF"/>
        </w:tcBorders>
      </w:tcPr>
    </w:tblStylePr>
    <w:tblStylePr w:type="firstCol">
      <w:rPr>
        <w:b/>
        <w:bCs/>
      </w:rPr>
    </w:tblStylePr>
    <w:tblStylePr w:type="lastCol">
      <w:rPr>
        <w:b/>
        <w:bCs/>
      </w:r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insideV w:val="single" w:sz="8" w:space="0" w:color="92ABBC" w:themeColor="accent5" w:themeTint="BF"/>
      </w:tblBorders>
    </w:tblPr>
    <w:tcPr>
      <w:shd w:val="clear" w:color="auto" w:fill="DBE3E9" w:themeFill="accent5" w:themeFillTint="3F"/>
    </w:tcPr>
    <w:tblStylePr w:type="firstRow">
      <w:rPr>
        <w:b/>
        <w:bCs/>
      </w:rPr>
    </w:tblStylePr>
    <w:tblStylePr w:type="lastRow">
      <w:rPr>
        <w:b/>
        <w:bCs/>
      </w:rPr>
      <w:tblPr/>
      <w:tcPr>
        <w:tcBorders>
          <w:top w:val="single" w:sz="18" w:space="0" w:color="92ABBC" w:themeColor="accent5" w:themeTint="BF"/>
        </w:tcBorders>
      </w:tcPr>
    </w:tblStylePr>
    <w:tblStylePr w:type="firstCol">
      <w:rPr>
        <w:b/>
        <w:bCs/>
      </w:rPr>
    </w:tblStylePr>
    <w:tblStylePr w:type="lastCol">
      <w:rPr>
        <w:b/>
        <w:bCs/>
      </w:r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insideV w:val="single" w:sz="8" w:space="0" w:color="C1C8BD" w:themeColor="accent6" w:themeTint="BF"/>
      </w:tblBorders>
    </w:tblPr>
    <w:tcPr>
      <w:shd w:val="clear" w:color="auto" w:fill="EAEDE9" w:themeFill="accent6" w:themeFillTint="3F"/>
    </w:tcPr>
    <w:tblStylePr w:type="firstRow">
      <w:rPr>
        <w:b/>
        <w:bCs/>
      </w:rPr>
    </w:tblStylePr>
    <w:tblStylePr w:type="lastRow">
      <w:rPr>
        <w:b/>
        <w:bCs/>
      </w:rPr>
      <w:tblPr/>
      <w:tcPr>
        <w:tcBorders>
          <w:top w:val="single" w:sz="18" w:space="0" w:color="C1C8BD" w:themeColor="accent6" w:themeTint="BF"/>
        </w:tcBorders>
      </w:tcPr>
    </w:tblStylePr>
    <w:tblStylePr w:type="firstCol">
      <w:rPr>
        <w:b/>
        <w:bCs/>
      </w:rPr>
    </w:tblStylePr>
    <w:tblStylePr w:type="lastCol">
      <w:rPr>
        <w:b/>
        <w:bCs/>
      </w:r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cPr>
      <w:shd w:val="clear" w:color="auto" w:fill="9BDBFF" w:themeFill="accent1" w:themeFillTint="3F"/>
    </w:tcPr>
    <w:tblStylePr w:type="firstRow">
      <w:rPr>
        <w:b/>
        <w:bCs/>
        <w:color w:val="000000" w:themeColor="text1"/>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2FF" w:themeFill="accent1" w:themeFillTint="33"/>
      </w:tcPr>
    </w:tblStylePr>
    <w:tblStylePr w:type="band1Vert">
      <w:tblPr/>
      <w:tcPr>
        <w:shd w:val="clear" w:color="auto" w:fill="36B7FF" w:themeFill="accent1" w:themeFillTint="7F"/>
      </w:tcPr>
    </w:tblStylePr>
    <w:tblStylePr w:type="band1Horz">
      <w:tblPr/>
      <w:tcPr>
        <w:tcBorders>
          <w:insideH w:val="single" w:sz="6" w:space="0" w:color="00456B" w:themeColor="accent1"/>
          <w:insideV w:val="single" w:sz="6" w:space="0" w:color="00456B" w:themeColor="accent1"/>
        </w:tcBorders>
        <w:shd w:val="clear" w:color="auto" w:fill="36B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cPr>
      <w:shd w:val="clear" w:color="auto" w:fill="F8E2C6" w:themeFill="accent2" w:themeFillTint="3F"/>
    </w:tcPr>
    <w:tblStylePr w:type="firstRow">
      <w:rPr>
        <w:b/>
        <w:bCs/>
        <w:color w:val="000000" w:themeColor="text1"/>
      </w:rPr>
      <w:tblPr/>
      <w:tcPr>
        <w:shd w:val="clear" w:color="auto" w:fill="FC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1" w:themeFill="accent2" w:themeFillTint="33"/>
      </w:tcPr>
    </w:tblStylePr>
    <w:tblStylePr w:type="band1Vert">
      <w:tblPr/>
      <w:tcPr>
        <w:shd w:val="clear" w:color="auto" w:fill="F2C68C" w:themeFill="accent2" w:themeFillTint="7F"/>
      </w:tcPr>
    </w:tblStylePr>
    <w:tblStylePr w:type="band1Horz">
      <w:tblPr/>
      <w:tcPr>
        <w:tcBorders>
          <w:insideH w:val="single" w:sz="6" w:space="0" w:color="E58E1A" w:themeColor="accent2"/>
          <w:insideV w:val="single" w:sz="6" w:space="0" w:color="E58E1A" w:themeColor="accent2"/>
        </w:tcBorders>
        <w:shd w:val="clear" w:color="auto" w:fill="F2C6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cPr>
      <w:shd w:val="clear" w:color="auto" w:fill="F2F0EE" w:themeFill="accent3" w:themeFillTint="3F"/>
    </w:tcPr>
    <w:tblStylePr w:type="firstRow">
      <w:rPr>
        <w:b/>
        <w:bCs/>
        <w:color w:val="000000" w:themeColor="text1"/>
      </w:rPr>
      <w:tblPr/>
      <w:tcPr>
        <w:shd w:val="clear" w:color="auto" w:fill="FA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2F1" w:themeFill="accent3" w:themeFillTint="33"/>
      </w:tcPr>
    </w:tblStylePr>
    <w:tblStylePr w:type="band1Vert">
      <w:tblPr/>
      <w:tcPr>
        <w:shd w:val="clear" w:color="auto" w:fill="E6E0DE" w:themeFill="accent3" w:themeFillTint="7F"/>
      </w:tcPr>
    </w:tblStylePr>
    <w:tblStylePr w:type="band1Horz">
      <w:tblPr/>
      <w:tcPr>
        <w:tcBorders>
          <w:insideH w:val="single" w:sz="6" w:space="0" w:color="CDC3BD" w:themeColor="accent3"/>
          <w:insideV w:val="single" w:sz="6" w:space="0" w:color="CDC3BD" w:themeColor="accent3"/>
        </w:tcBorders>
        <w:shd w:val="clear" w:color="auto" w:fill="E6E0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cPr>
      <w:shd w:val="clear" w:color="auto" w:fill="ECDDDA" w:themeFill="accent4" w:themeFillTint="3F"/>
    </w:tcPr>
    <w:tblStylePr w:type="firstRow">
      <w:rPr>
        <w:b/>
        <w:bCs/>
        <w:color w:val="000000" w:themeColor="text1"/>
      </w:rPr>
      <w:tblPr/>
      <w:tcPr>
        <w:shd w:val="clear" w:color="auto" w:fill="F7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3E1" w:themeFill="accent4" w:themeFillTint="33"/>
      </w:tcPr>
    </w:tblStylePr>
    <w:tblStylePr w:type="band1Vert">
      <w:tblPr/>
      <w:tcPr>
        <w:shd w:val="clear" w:color="auto" w:fill="D9BBB5" w:themeFill="accent4" w:themeFillTint="7F"/>
      </w:tcPr>
    </w:tblStylePr>
    <w:tblStylePr w:type="band1Horz">
      <w:tblPr/>
      <w:tcPr>
        <w:tcBorders>
          <w:insideH w:val="single" w:sz="6" w:space="0" w:color="B4786C" w:themeColor="accent4"/>
          <w:insideV w:val="single" w:sz="6" w:space="0" w:color="B4786C" w:themeColor="accent4"/>
        </w:tcBorders>
        <w:shd w:val="clear" w:color="auto" w:fill="D9BB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cPr>
      <w:shd w:val="clear" w:color="auto" w:fill="DBE3E9" w:themeFill="accent5" w:themeFillTint="3F"/>
    </w:tcPr>
    <w:tblStylePr w:type="firstRow">
      <w:rPr>
        <w:b/>
        <w:bCs/>
        <w:color w:val="000000" w:themeColor="text1"/>
      </w:rPr>
      <w:tblPr/>
      <w:tcPr>
        <w:shd w:val="clear" w:color="auto" w:fill="F0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D" w:themeFill="accent5" w:themeFillTint="33"/>
      </w:tcPr>
    </w:tblStylePr>
    <w:tblStylePr w:type="band1Vert">
      <w:tblPr/>
      <w:tcPr>
        <w:shd w:val="clear" w:color="auto" w:fill="B6C7D2" w:themeFill="accent5" w:themeFillTint="7F"/>
      </w:tcPr>
    </w:tblStylePr>
    <w:tblStylePr w:type="band1Horz">
      <w:tblPr/>
      <w:tcPr>
        <w:tcBorders>
          <w:insideH w:val="single" w:sz="6" w:space="0" w:color="6E90A6" w:themeColor="accent5"/>
          <w:insideV w:val="single" w:sz="6" w:space="0" w:color="6E90A6" w:themeColor="accent5"/>
        </w:tcBorders>
        <w:shd w:val="clear" w:color="auto" w:fill="B6C7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cPr>
      <w:shd w:val="clear" w:color="auto" w:fill="EAEDE9" w:themeFill="accent6" w:themeFillTint="3F"/>
    </w:tcPr>
    <w:tblStylePr w:type="firstRow">
      <w:rPr>
        <w:b/>
        <w:bCs/>
        <w:color w:val="000000" w:themeColor="text1"/>
      </w:rPr>
      <w:tblPr/>
      <w:tcPr>
        <w:shd w:val="clear" w:color="auto" w:fill="F6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ED" w:themeFill="accent6" w:themeFillTint="33"/>
      </w:tcPr>
    </w:tblStylePr>
    <w:tblStylePr w:type="band1Vert">
      <w:tblPr/>
      <w:tcPr>
        <w:shd w:val="clear" w:color="auto" w:fill="D5DAD3" w:themeFill="accent6" w:themeFillTint="7F"/>
      </w:tcPr>
    </w:tblStylePr>
    <w:tblStylePr w:type="band1Horz">
      <w:tblPr/>
      <w:tcPr>
        <w:tcBorders>
          <w:insideH w:val="single" w:sz="6" w:space="0" w:color="ADB6A8" w:themeColor="accent6"/>
          <w:insideV w:val="single" w:sz="6" w:space="0" w:color="ADB6A8" w:themeColor="accent6"/>
        </w:tcBorders>
        <w:shd w:val="clear" w:color="auto" w:fill="D5DA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5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5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6B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6B7FF"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8E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8E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6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68C"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3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3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0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0D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D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78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78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B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BB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0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0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7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7D2"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B6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B6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A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AD3"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456B" w:themeColor="accent1"/>
        <w:bottom w:val="single" w:sz="8" w:space="0" w:color="00456B" w:themeColor="accent1"/>
      </w:tblBorders>
    </w:tblPr>
    <w:tblStylePr w:type="firstRow">
      <w:rPr>
        <w:rFonts w:asciiTheme="majorHAnsi" w:eastAsiaTheme="majorEastAsia" w:hAnsiTheme="majorHAnsi" w:cstheme="majorBidi"/>
      </w:rPr>
      <w:tblPr/>
      <w:tcPr>
        <w:tcBorders>
          <w:top w:val="nil"/>
          <w:bottom w:val="single" w:sz="8" w:space="0" w:color="00456B" w:themeColor="accent1"/>
        </w:tcBorders>
      </w:tcPr>
    </w:tblStylePr>
    <w:tblStylePr w:type="lastRow">
      <w:rPr>
        <w:b/>
        <w:bCs/>
        <w:color w:val="00456B" w:themeColor="text2"/>
      </w:rPr>
      <w:tblPr/>
      <w:tcPr>
        <w:tcBorders>
          <w:top w:val="single" w:sz="8" w:space="0" w:color="00456B" w:themeColor="accent1"/>
          <w:bottom w:val="single" w:sz="8" w:space="0" w:color="00456B" w:themeColor="accent1"/>
        </w:tcBorders>
      </w:tcPr>
    </w:tblStylePr>
    <w:tblStylePr w:type="firstCol">
      <w:rPr>
        <w:b/>
        <w:bCs/>
      </w:rPr>
    </w:tblStylePr>
    <w:tblStylePr w:type="lastCol">
      <w:rPr>
        <w:b/>
        <w:bCs/>
      </w:rPr>
      <w:tblPr/>
      <w:tcPr>
        <w:tcBorders>
          <w:top w:val="single" w:sz="8" w:space="0" w:color="00456B" w:themeColor="accent1"/>
          <w:bottom w:val="single" w:sz="8" w:space="0" w:color="00456B" w:themeColor="accent1"/>
        </w:tcBorders>
      </w:tcPr>
    </w:tblStylePr>
    <w:tblStylePr w:type="band1Vert">
      <w:tblPr/>
      <w:tcPr>
        <w:shd w:val="clear" w:color="auto" w:fill="9BDBFF" w:themeFill="accent1" w:themeFillTint="3F"/>
      </w:tcPr>
    </w:tblStylePr>
    <w:tblStylePr w:type="band1Horz">
      <w:tblPr/>
      <w:tcPr>
        <w:shd w:val="clear" w:color="auto" w:fill="9BDBFF"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E58E1A" w:themeColor="accent2"/>
        <w:bottom w:val="single" w:sz="8" w:space="0" w:color="E58E1A" w:themeColor="accent2"/>
      </w:tblBorders>
    </w:tblPr>
    <w:tblStylePr w:type="firstRow">
      <w:rPr>
        <w:rFonts w:asciiTheme="majorHAnsi" w:eastAsiaTheme="majorEastAsia" w:hAnsiTheme="majorHAnsi" w:cstheme="majorBidi"/>
      </w:rPr>
      <w:tblPr/>
      <w:tcPr>
        <w:tcBorders>
          <w:top w:val="nil"/>
          <w:bottom w:val="single" w:sz="8" w:space="0" w:color="E58E1A" w:themeColor="accent2"/>
        </w:tcBorders>
      </w:tcPr>
    </w:tblStylePr>
    <w:tblStylePr w:type="lastRow">
      <w:rPr>
        <w:b/>
        <w:bCs/>
        <w:color w:val="00456B" w:themeColor="text2"/>
      </w:rPr>
      <w:tblPr/>
      <w:tcPr>
        <w:tcBorders>
          <w:top w:val="single" w:sz="8" w:space="0" w:color="E58E1A" w:themeColor="accent2"/>
          <w:bottom w:val="single" w:sz="8" w:space="0" w:color="E58E1A" w:themeColor="accent2"/>
        </w:tcBorders>
      </w:tcPr>
    </w:tblStylePr>
    <w:tblStylePr w:type="firstCol">
      <w:rPr>
        <w:b/>
        <w:bCs/>
      </w:rPr>
    </w:tblStylePr>
    <w:tblStylePr w:type="lastCol">
      <w:rPr>
        <w:b/>
        <w:bCs/>
      </w:rPr>
      <w:tblPr/>
      <w:tcPr>
        <w:tcBorders>
          <w:top w:val="single" w:sz="8" w:space="0" w:color="E58E1A" w:themeColor="accent2"/>
          <w:bottom w:val="single" w:sz="8" w:space="0" w:color="E58E1A" w:themeColor="accent2"/>
        </w:tcBorders>
      </w:tcPr>
    </w:tblStylePr>
    <w:tblStylePr w:type="band1Vert">
      <w:tblPr/>
      <w:tcPr>
        <w:shd w:val="clear" w:color="auto" w:fill="F8E2C6" w:themeFill="accent2" w:themeFillTint="3F"/>
      </w:tcPr>
    </w:tblStylePr>
    <w:tblStylePr w:type="band1Horz">
      <w:tblPr/>
      <w:tcPr>
        <w:shd w:val="clear" w:color="auto" w:fill="F8E2C6"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CDC3BD" w:themeColor="accent3"/>
        <w:bottom w:val="single" w:sz="8" w:space="0" w:color="CDC3BD" w:themeColor="accent3"/>
      </w:tblBorders>
    </w:tblPr>
    <w:tblStylePr w:type="firstRow">
      <w:rPr>
        <w:rFonts w:asciiTheme="majorHAnsi" w:eastAsiaTheme="majorEastAsia" w:hAnsiTheme="majorHAnsi" w:cstheme="majorBidi"/>
      </w:rPr>
      <w:tblPr/>
      <w:tcPr>
        <w:tcBorders>
          <w:top w:val="nil"/>
          <w:bottom w:val="single" w:sz="8" w:space="0" w:color="CDC3BD" w:themeColor="accent3"/>
        </w:tcBorders>
      </w:tcPr>
    </w:tblStylePr>
    <w:tblStylePr w:type="lastRow">
      <w:rPr>
        <w:b/>
        <w:bCs/>
        <w:color w:val="00456B" w:themeColor="text2"/>
      </w:rPr>
      <w:tblPr/>
      <w:tcPr>
        <w:tcBorders>
          <w:top w:val="single" w:sz="8" w:space="0" w:color="CDC3BD" w:themeColor="accent3"/>
          <w:bottom w:val="single" w:sz="8" w:space="0" w:color="CDC3BD" w:themeColor="accent3"/>
        </w:tcBorders>
      </w:tcPr>
    </w:tblStylePr>
    <w:tblStylePr w:type="firstCol">
      <w:rPr>
        <w:b/>
        <w:bCs/>
      </w:rPr>
    </w:tblStylePr>
    <w:tblStylePr w:type="lastCol">
      <w:rPr>
        <w:b/>
        <w:bCs/>
      </w:rPr>
      <w:tblPr/>
      <w:tcPr>
        <w:tcBorders>
          <w:top w:val="single" w:sz="8" w:space="0" w:color="CDC3BD" w:themeColor="accent3"/>
          <w:bottom w:val="single" w:sz="8" w:space="0" w:color="CDC3BD" w:themeColor="accent3"/>
        </w:tcBorders>
      </w:tcPr>
    </w:tblStylePr>
    <w:tblStylePr w:type="band1Vert">
      <w:tblPr/>
      <w:tcPr>
        <w:shd w:val="clear" w:color="auto" w:fill="F2F0EE" w:themeFill="accent3" w:themeFillTint="3F"/>
      </w:tcPr>
    </w:tblStylePr>
    <w:tblStylePr w:type="band1Horz">
      <w:tblPr/>
      <w:tcPr>
        <w:shd w:val="clear" w:color="auto" w:fill="F2F0EE"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B4786C" w:themeColor="accent4"/>
        <w:bottom w:val="single" w:sz="8" w:space="0" w:color="B4786C" w:themeColor="accent4"/>
      </w:tblBorders>
    </w:tblPr>
    <w:tblStylePr w:type="firstRow">
      <w:rPr>
        <w:rFonts w:asciiTheme="majorHAnsi" w:eastAsiaTheme="majorEastAsia" w:hAnsiTheme="majorHAnsi" w:cstheme="majorBidi"/>
      </w:rPr>
      <w:tblPr/>
      <w:tcPr>
        <w:tcBorders>
          <w:top w:val="nil"/>
          <w:bottom w:val="single" w:sz="8" w:space="0" w:color="B4786C" w:themeColor="accent4"/>
        </w:tcBorders>
      </w:tcPr>
    </w:tblStylePr>
    <w:tblStylePr w:type="lastRow">
      <w:rPr>
        <w:b/>
        <w:bCs/>
        <w:color w:val="00456B" w:themeColor="text2"/>
      </w:rPr>
      <w:tblPr/>
      <w:tcPr>
        <w:tcBorders>
          <w:top w:val="single" w:sz="8" w:space="0" w:color="B4786C" w:themeColor="accent4"/>
          <w:bottom w:val="single" w:sz="8" w:space="0" w:color="B4786C" w:themeColor="accent4"/>
        </w:tcBorders>
      </w:tcPr>
    </w:tblStylePr>
    <w:tblStylePr w:type="firstCol">
      <w:rPr>
        <w:b/>
        <w:bCs/>
      </w:rPr>
    </w:tblStylePr>
    <w:tblStylePr w:type="lastCol">
      <w:rPr>
        <w:b/>
        <w:bCs/>
      </w:rPr>
      <w:tblPr/>
      <w:tcPr>
        <w:tcBorders>
          <w:top w:val="single" w:sz="8" w:space="0" w:color="B4786C" w:themeColor="accent4"/>
          <w:bottom w:val="single" w:sz="8" w:space="0" w:color="B4786C" w:themeColor="accent4"/>
        </w:tcBorders>
      </w:tcPr>
    </w:tblStylePr>
    <w:tblStylePr w:type="band1Vert">
      <w:tblPr/>
      <w:tcPr>
        <w:shd w:val="clear" w:color="auto" w:fill="ECDDDA" w:themeFill="accent4" w:themeFillTint="3F"/>
      </w:tcPr>
    </w:tblStylePr>
    <w:tblStylePr w:type="band1Horz">
      <w:tblPr/>
      <w:tcPr>
        <w:shd w:val="clear" w:color="auto" w:fill="ECDDD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6E90A6" w:themeColor="accent5"/>
        <w:bottom w:val="single" w:sz="8" w:space="0" w:color="6E90A6" w:themeColor="accent5"/>
      </w:tblBorders>
    </w:tblPr>
    <w:tblStylePr w:type="firstRow">
      <w:rPr>
        <w:rFonts w:asciiTheme="majorHAnsi" w:eastAsiaTheme="majorEastAsia" w:hAnsiTheme="majorHAnsi" w:cstheme="majorBidi"/>
      </w:rPr>
      <w:tblPr/>
      <w:tcPr>
        <w:tcBorders>
          <w:top w:val="nil"/>
          <w:bottom w:val="single" w:sz="8" w:space="0" w:color="6E90A6" w:themeColor="accent5"/>
        </w:tcBorders>
      </w:tcPr>
    </w:tblStylePr>
    <w:tblStylePr w:type="lastRow">
      <w:rPr>
        <w:b/>
        <w:bCs/>
        <w:color w:val="00456B" w:themeColor="text2"/>
      </w:rPr>
      <w:tblPr/>
      <w:tcPr>
        <w:tcBorders>
          <w:top w:val="single" w:sz="8" w:space="0" w:color="6E90A6" w:themeColor="accent5"/>
          <w:bottom w:val="single" w:sz="8" w:space="0" w:color="6E90A6" w:themeColor="accent5"/>
        </w:tcBorders>
      </w:tcPr>
    </w:tblStylePr>
    <w:tblStylePr w:type="firstCol">
      <w:rPr>
        <w:b/>
        <w:bCs/>
      </w:rPr>
    </w:tblStylePr>
    <w:tblStylePr w:type="lastCol">
      <w:rPr>
        <w:b/>
        <w:bCs/>
      </w:rPr>
      <w:tblPr/>
      <w:tcPr>
        <w:tcBorders>
          <w:top w:val="single" w:sz="8" w:space="0" w:color="6E90A6" w:themeColor="accent5"/>
          <w:bottom w:val="single" w:sz="8" w:space="0" w:color="6E90A6" w:themeColor="accent5"/>
        </w:tcBorders>
      </w:tcPr>
    </w:tblStylePr>
    <w:tblStylePr w:type="band1Vert">
      <w:tblPr/>
      <w:tcPr>
        <w:shd w:val="clear" w:color="auto" w:fill="DBE3E9" w:themeFill="accent5" w:themeFillTint="3F"/>
      </w:tcPr>
    </w:tblStylePr>
    <w:tblStylePr w:type="band1Horz">
      <w:tblPr/>
      <w:tcPr>
        <w:shd w:val="clear" w:color="auto" w:fill="DBE3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ADB6A8" w:themeColor="accent6"/>
        <w:bottom w:val="single" w:sz="8" w:space="0" w:color="ADB6A8" w:themeColor="accent6"/>
      </w:tblBorders>
    </w:tblPr>
    <w:tblStylePr w:type="firstRow">
      <w:rPr>
        <w:rFonts w:asciiTheme="majorHAnsi" w:eastAsiaTheme="majorEastAsia" w:hAnsiTheme="majorHAnsi" w:cstheme="majorBidi"/>
      </w:rPr>
      <w:tblPr/>
      <w:tcPr>
        <w:tcBorders>
          <w:top w:val="nil"/>
          <w:bottom w:val="single" w:sz="8" w:space="0" w:color="ADB6A8" w:themeColor="accent6"/>
        </w:tcBorders>
      </w:tcPr>
    </w:tblStylePr>
    <w:tblStylePr w:type="lastRow">
      <w:rPr>
        <w:b/>
        <w:bCs/>
        <w:color w:val="00456B" w:themeColor="text2"/>
      </w:rPr>
      <w:tblPr/>
      <w:tcPr>
        <w:tcBorders>
          <w:top w:val="single" w:sz="8" w:space="0" w:color="ADB6A8" w:themeColor="accent6"/>
          <w:bottom w:val="single" w:sz="8" w:space="0" w:color="ADB6A8" w:themeColor="accent6"/>
        </w:tcBorders>
      </w:tcPr>
    </w:tblStylePr>
    <w:tblStylePr w:type="firstCol">
      <w:rPr>
        <w:b/>
        <w:bCs/>
      </w:rPr>
    </w:tblStylePr>
    <w:tblStylePr w:type="lastCol">
      <w:rPr>
        <w:b/>
        <w:bCs/>
      </w:rPr>
      <w:tblPr/>
      <w:tcPr>
        <w:tcBorders>
          <w:top w:val="single" w:sz="8" w:space="0" w:color="ADB6A8" w:themeColor="accent6"/>
          <w:bottom w:val="single" w:sz="8" w:space="0" w:color="ADB6A8" w:themeColor="accent6"/>
        </w:tcBorders>
      </w:tcPr>
    </w:tblStylePr>
    <w:tblStylePr w:type="band1Vert">
      <w:tblPr/>
      <w:tcPr>
        <w:shd w:val="clear" w:color="auto" w:fill="EAEDE9" w:themeFill="accent6" w:themeFillTint="3F"/>
      </w:tcPr>
    </w:tblStylePr>
    <w:tblStylePr w:type="band1Horz">
      <w:tblPr/>
      <w:tcPr>
        <w:shd w:val="clear" w:color="auto" w:fill="EAEDE9"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rPr>
        <w:sz w:val="24"/>
        <w:szCs w:val="24"/>
      </w:rPr>
      <w:tblPr/>
      <w:tcPr>
        <w:tcBorders>
          <w:top w:val="nil"/>
          <w:left w:val="nil"/>
          <w:bottom w:val="single" w:sz="24" w:space="0" w:color="00456B" w:themeColor="accent1"/>
          <w:right w:val="nil"/>
          <w:insideH w:val="nil"/>
          <w:insideV w:val="nil"/>
        </w:tcBorders>
        <w:shd w:val="clear" w:color="auto" w:fill="FFFFFF" w:themeFill="background1"/>
      </w:tcPr>
    </w:tblStylePr>
    <w:tblStylePr w:type="lastRow">
      <w:tblPr/>
      <w:tcPr>
        <w:tcBorders>
          <w:top w:val="single" w:sz="8" w:space="0" w:color="00456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56B" w:themeColor="accent1"/>
          <w:insideH w:val="nil"/>
          <w:insideV w:val="nil"/>
        </w:tcBorders>
        <w:shd w:val="clear" w:color="auto" w:fill="FFFFFF" w:themeFill="background1"/>
      </w:tcPr>
    </w:tblStylePr>
    <w:tblStylePr w:type="lastCol">
      <w:tblPr/>
      <w:tcPr>
        <w:tcBorders>
          <w:top w:val="nil"/>
          <w:left w:val="single" w:sz="8" w:space="0" w:color="0045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top w:val="nil"/>
          <w:bottom w:val="nil"/>
          <w:insideH w:val="nil"/>
          <w:insideV w:val="nil"/>
        </w:tcBorders>
        <w:shd w:val="clear" w:color="auto" w:fill="9B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rPr>
        <w:sz w:val="24"/>
        <w:szCs w:val="24"/>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tblPr/>
      <w:tcPr>
        <w:tcBorders>
          <w:top w:val="single" w:sz="8" w:space="0" w:color="E58E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8E1A" w:themeColor="accent2"/>
          <w:insideH w:val="nil"/>
          <w:insideV w:val="nil"/>
        </w:tcBorders>
        <w:shd w:val="clear" w:color="auto" w:fill="FFFFFF" w:themeFill="background1"/>
      </w:tcPr>
    </w:tblStylePr>
    <w:tblStylePr w:type="lastCol">
      <w:tblPr/>
      <w:tcPr>
        <w:tcBorders>
          <w:top w:val="nil"/>
          <w:left w:val="single" w:sz="8" w:space="0" w:color="E58E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top w:val="nil"/>
          <w:bottom w:val="nil"/>
          <w:insideH w:val="nil"/>
          <w:insideV w:val="nil"/>
        </w:tcBorders>
        <w:shd w:val="clear" w:color="auto" w:fill="F8E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rPr>
        <w:sz w:val="24"/>
        <w:szCs w:val="24"/>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tblPr/>
      <w:tcPr>
        <w:tcBorders>
          <w:top w:val="single" w:sz="8" w:space="0" w:color="CDC3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3BD" w:themeColor="accent3"/>
          <w:insideH w:val="nil"/>
          <w:insideV w:val="nil"/>
        </w:tcBorders>
        <w:shd w:val="clear" w:color="auto" w:fill="FFFFFF" w:themeFill="background1"/>
      </w:tcPr>
    </w:tblStylePr>
    <w:tblStylePr w:type="lastCol">
      <w:tblPr/>
      <w:tcPr>
        <w:tcBorders>
          <w:top w:val="nil"/>
          <w:left w:val="single" w:sz="8" w:space="0" w:color="CDC3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top w:val="nil"/>
          <w:bottom w:val="nil"/>
          <w:insideH w:val="nil"/>
          <w:insideV w:val="nil"/>
        </w:tcBorders>
        <w:shd w:val="clear" w:color="auto" w:fill="F2F0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rPr>
        <w:sz w:val="24"/>
        <w:szCs w:val="24"/>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tblPr/>
      <w:tcPr>
        <w:tcBorders>
          <w:top w:val="single" w:sz="8" w:space="0" w:color="B478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786C" w:themeColor="accent4"/>
          <w:insideH w:val="nil"/>
          <w:insideV w:val="nil"/>
        </w:tcBorders>
        <w:shd w:val="clear" w:color="auto" w:fill="FFFFFF" w:themeFill="background1"/>
      </w:tcPr>
    </w:tblStylePr>
    <w:tblStylePr w:type="lastCol">
      <w:tblPr/>
      <w:tcPr>
        <w:tcBorders>
          <w:top w:val="nil"/>
          <w:left w:val="single" w:sz="8" w:space="0" w:color="B478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top w:val="nil"/>
          <w:bottom w:val="nil"/>
          <w:insideH w:val="nil"/>
          <w:insideV w:val="nil"/>
        </w:tcBorders>
        <w:shd w:val="clear" w:color="auto" w:fill="ECD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rPr>
        <w:sz w:val="24"/>
        <w:szCs w:val="24"/>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tblPr/>
      <w:tcPr>
        <w:tcBorders>
          <w:top w:val="single" w:sz="8" w:space="0" w:color="6E90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0A6" w:themeColor="accent5"/>
          <w:insideH w:val="nil"/>
          <w:insideV w:val="nil"/>
        </w:tcBorders>
        <w:shd w:val="clear" w:color="auto" w:fill="FFFFFF" w:themeFill="background1"/>
      </w:tcPr>
    </w:tblStylePr>
    <w:tblStylePr w:type="lastCol">
      <w:tblPr/>
      <w:tcPr>
        <w:tcBorders>
          <w:top w:val="nil"/>
          <w:left w:val="single" w:sz="8" w:space="0" w:color="6E90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top w:val="nil"/>
          <w:bottom w:val="nil"/>
          <w:insideH w:val="nil"/>
          <w:insideV w:val="nil"/>
        </w:tcBorders>
        <w:shd w:val="clear" w:color="auto" w:fill="DBE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rPr>
        <w:sz w:val="24"/>
        <w:szCs w:val="24"/>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tblPr/>
      <w:tcPr>
        <w:tcBorders>
          <w:top w:val="single" w:sz="8" w:space="0" w:color="ADB6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B6A8" w:themeColor="accent6"/>
          <w:insideH w:val="nil"/>
          <w:insideV w:val="nil"/>
        </w:tcBorders>
        <w:shd w:val="clear" w:color="auto" w:fill="FFFFFF" w:themeFill="background1"/>
      </w:tcPr>
    </w:tblStylePr>
    <w:tblStylePr w:type="lastCol">
      <w:tblPr/>
      <w:tcPr>
        <w:tcBorders>
          <w:top w:val="nil"/>
          <w:left w:val="single" w:sz="8" w:space="0" w:color="ADB6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top w:val="nil"/>
          <w:bottom w:val="nil"/>
          <w:insideH w:val="nil"/>
          <w:insideV w:val="nil"/>
        </w:tcBorders>
        <w:shd w:val="clear" w:color="auto" w:fill="EAE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tblBorders>
    </w:tblPr>
    <w:tblStylePr w:type="firstRow">
      <w:pPr>
        <w:spacing w:before="0" w:after="0" w:line="240" w:lineRule="auto"/>
      </w:pPr>
      <w:rPr>
        <w:b/>
        <w:bCs/>
        <w:color w:val="FFFFFF" w:themeColor="background1"/>
      </w:rPr>
      <w:tblPr/>
      <w:tcPr>
        <w:tc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shd w:val="clear" w:color="auto" w:fill="00456B" w:themeFill="accent1"/>
      </w:tcPr>
    </w:tblStylePr>
    <w:tblStylePr w:type="lastRow">
      <w:pPr>
        <w:spacing w:before="0" w:after="0" w:line="240" w:lineRule="auto"/>
      </w:pPr>
      <w:rPr>
        <w:b/>
        <w:bCs/>
      </w:rPr>
      <w:tblPr/>
      <w:tcPr>
        <w:tcBorders>
          <w:top w:val="double" w:sz="6"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BFF" w:themeFill="accent1" w:themeFillTint="3F"/>
      </w:tcPr>
    </w:tblStylePr>
    <w:tblStylePr w:type="band1Horz">
      <w:tblPr/>
      <w:tcPr>
        <w:tcBorders>
          <w:insideH w:val="nil"/>
          <w:insideV w:val="nil"/>
        </w:tcBorders>
        <w:shd w:val="clear" w:color="auto" w:fill="9BD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tblBorders>
    </w:tblPr>
    <w:tblStylePr w:type="firstRow">
      <w:pPr>
        <w:spacing w:before="0" w:after="0" w:line="240" w:lineRule="auto"/>
      </w:pPr>
      <w:rPr>
        <w:b/>
        <w:bCs/>
        <w:color w:val="FFFFFF" w:themeColor="background1"/>
      </w:rPr>
      <w:tblPr/>
      <w:tcPr>
        <w:tc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shd w:val="clear" w:color="auto" w:fill="E58E1A" w:themeFill="accent2"/>
      </w:tcPr>
    </w:tblStylePr>
    <w:tblStylePr w:type="lastRow">
      <w:pPr>
        <w:spacing w:before="0" w:after="0" w:line="240" w:lineRule="auto"/>
      </w:pPr>
      <w:rPr>
        <w:b/>
        <w:bCs/>
      </w:rPr>
      <w:tblPr/>
      <w:tcPr>
        <w:tcBorders>
          <w:top w:val="double" w:sz="6"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E2C6" w:themeFill="accent2" w:themeFillTint="3F"/>
      </w:tcPr>
    </w:tblStylePr>
    <w:tblStylePr w:type="band1Horz">
      <w:tblPr/>
      <w:tcPr>
        <w:tcBorders>
          <w:insideH w:val="nil"/>
          <w:insideV w:val="nil"/>
        </w:tcBorders>
        <w:shd w:val="clear" w:color="auto" w:fill="F8E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tblBorders>
    </w:tblPr>
    <w:tblStylePr w:type="firstRow">
      <w:pPr>
        <w:spacing w:before="0" w:after="0" w:line="240" w:lineRule="auto"/>
      </w:pPr>
      <w:rPr>
        <w:b/>
        <w:bCs/>
        <w:color w:val="FFFFFF" w:themeColor="background1"/>
      </w:rPr>
      <w:tblPr/>
      <w:tcPr>
        <w:tc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shd w:val="clear" w:color="auto" w:fill="CDC3BD" w:themeFill="accent3"/>
      </w:tcPr>
    </w:tblStylePr>
    <w:tblStylePr w:type="lastRow">
      <w:pPr>
        <w:spacing w:before="0" w:after="0" w:line="240" w:lineRule="auto"/>
      </w:pPr>
      <w:rPr>
        <w:b/>
        <w:bCs/>
      </w:rPr>
      <w:tblPr/>
      <w:tcPr>
        <w:tcBorders>
          <w:top w:val="double" w:sz="6"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3" w:themeFillTint="3F"/>
      </w:tcPr>
    </w:tblStylePr>
    <w:tblStylePr w:type="band1Horz">
      <w:tblPr/>
      <w:tcPr>
        <w:tcBorders>
          <w:insideH w:val="nil"/>
          <w:insideV w:val="nil"/>
        </w:tcBorders>
        <w:shd w:val="clear" w:color="auto" w:fill="F2F0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tblBorders>
    </w:tblPr>
    <w:tblStylePr w:type="firstRow">
      <w:pPr>
        <w:spacing w:before="0" w:after="0" w:line="240" w:lineRule="auto"/>
      </w:pPr>
      <w:rPr>
        <w:b/>
        <w:bCs/>
        <w:color w:val="FFFFFF" w:themeColor="background1"/>
      </w:rPr>
      <w:tblPr/>
      <w:tcPr>
        <w:tc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shd w:val="clear" w:color="auto" w:fill="B4786C" w:themeFill="accent4"/>
      </w:tcPr>
    </w:tblStylePr>
    <w:tblStylePr w:type="lastRow">
      <w:pPr>
        <w:spacing w:before="0" w:after="0" w:line="240" w:lineRule="auto"/>
      </w:pPr>
      <w:rPr>
        <w:b/>
        <w:bCs/>
      </w:rPr>
      <w:tblPr/>
      <w:tcPr>
        <w:tcBorders>
          <w:top w:val="double" w:sz="6"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DDA" w:themeFill="accent4" w:themeFillTint="3F"/>
      </w:tcPr>
    </w:tblStylePr>
    <w:tblStylePr w:type="band1Horz">
      <w:tblPr/>
      <w:tcPr>
        <w:tcBorders>
          <w:insideH w:val="nil"/>
          <w:insideV w:val="nil"/>
        </w:tcBorders>
        <w:shd w:val="clear" w:color="auto" w:fill="ECDD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tblBorders>
    </w:tblPr>
    <w:tblStylePr w:type="firstRow">
      <w:pPr>
        <w:spacing w:before="0" w:after="0" w:line="240" w:lineRule="auto"/>
      </w:pPr>
      <w:rPr>
        <w:b/>
        <w:bCs/>
        <w:color w:val="FFFFFF" w:themeColor="background1"/>
      </w:rPr>
      <w:tblPr/>
      <w:tcPr>
        <w:tc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shd w:val="clear" w:color="auto" w:fill="6E90A6" w:themeFill="accent5"/>
      </w:tcPr>
    </w:tblStylePr>
    <w:tblStylePr w:type="lastRow">
      <w:pPr>
        <w:spacing w:before="0" w:after="0" w:line="240" w:lineRule="auto"/>
      </w:pPr>
      <w:rPr>
        <w:b/>
        <w:bCs/>
      </w:rPr>
      <w:tblPr/>
      <w:tcPr>
        <w:tcBorders>
          <w:top w:val="double" w:sz="6"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3E9" w:themeFill="accent5" w:themeFillTint="3F"/>
      </w:tcPr>
    </w:tblStylePr>
    <w:tblStylePr w:type="band1Horz">
      <w:tblPr/>
      <w:tcPr>
        <w:tcBorders>
          <w:insideH w:val="nil"/>
          <w:insideV w:val="nil"/>
        </w:tcBorders>
        <w:shd w:val="clear" w:color="auto" w:fill="DBE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tblBorders>
    </w:tblPr>
    <w:tblStylePr w:type="firstRow">
      <w:pPr>
        <w:spacing w:before="0" w:after="0" w:line="240" w:lineRule="auto"/>
      </w:pPr>
      <w:rPr>
        <w:b/>
        <w:bCs/>
        <w:color w:val="FFFFFF" w:themeColor="background1"/>
      </w:rPr>
      <w:tblPr/>
      <w:tcPr>
        <w:tc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shd w:val="clear" w:color="auto" w:fill="ADB6A8" w:themeFill="accent6"/>
      </w:tcPr>
    </w:tblStylePr>
    <w:tblStylePr w:type="lastRow">
      <w:pPr>
        <w:spacing w:before="0" w:after="0" w:line="240" w:lineRule="auto"/>
      </w:pPr>
      <w:rPr>
        <w:b/>
        <w:bCs/>
      </w:rPr>
      <w:tblPr/>
      <w:tcPr>
        <w:tcBorders>
          <w:top w:val="double" w:sz="6"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DE9" w:themeFill="accent6" w:themeFillTint="3F"/>
      </w:tcPr>
    </w:tblStylePr>
    <w:tblStylePr w:type="band1Horz">
      <w:tblPr/>
      <w:tcPr>
        <w:tcBorders>
          <w:insideH w:val="nil"/>
          <w:insideV w:val="nil"/>
        </w:tcBorders>
        <w:shd w:val="clear" w:color="auto" w:fill="EAED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5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56B" w:themeFill="accent1"/>
      </w:tcPr>
    </w:tblStylePr>
    <w:tblStylePr w:type="lastCol">
      <w:rPr>
        <w:b/>
        <w:bCs/>
        <w:color w:val="FFFFFF" w:themeColor="background1"/>
      </w:rPr>
      <w:tblPr/>
      <w:tcPr>
        <w:tcBorders>
          <w:left w:val="nil"/>
          <w:right w:val="nil"/>
          <w:insideH w:val="nil"/>
          <w:insideV w:val="nil"/>
        </w:tcBorders>
        <w:shd w:val="clear" w:color="auto" w:fill="0045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8E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8E1A" w:themeFill="accent2"/>
      </w:tcPr>
    </w:tblStylePr>
    <w:tblStylePr w:type="lastCol">
      <w:rPr>
        <w:b/>
        <w:bCs/>
        <w:color w:val="FFFFFF" w:themeColor="background1"/>
      </w:rPr>
      <w:tblPr/>
      <w:tcPr>
        <w:tcBorders>
          <w:left w:val="nil"/>
          <w:right w:val="nil"/>
          <w:insideH w:val="nil"/>
          <w:insideV w:val="nil"/>
        </w:tcBorders>
        <w:shd w:val="clear" w:color="auto" w:fill="E58E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3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3BD" w:themeFill="accent3"/>
      </w:tcPr>
    </w:tblStylePr>
    <w:tblStylePr w:type="lastCol">
      <w:rPr>
        <w:b/>
        <w:bCs/>
        <w:color w:val="FFFFFF" w:themeColor="background1"/>
      </w:rPr>
      <w:tblPr/>
      <w:tcPr>
        <w:tcBorders>
          <w:left w:val="nil"/>
          <w:right w:val="nil"/>
          <w:insideH w:val="nil"/>
          <w:insideV w:val="nil"/>
        </w:tcBorders>
        <w:shd w:val="clear" w:color="auto" w:fill="CDC3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78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786C" w:themeFill="accent4"/>
      </w:tcPr>
    </w:tblStylePr>
    <w:tblStylePr w:type="lastCol">
      <w:rPr>
        <w:b/>
        <w:bCs/>
        <w:color w:val="FFFFFF" w:themeColor="background1"/>
      </w:rPr>
      <w:tblPr/>
      <w:tcPr>
        <w:tcBorders>
          <w:left w:val="nil"/>
          <w:right w:val="nil"/>
          <w:insideH w:val="nil"/>
          <w:insideV w:val="nil"/>
        </w:tcBorders>
        <w:shd w:val="clear" w:color="auto" w:fill="B478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0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0A6" w:themeFill="accent5"/>
      </w:tcPr>
    </w:tblStylePr>
    <w:tblStylePr w:type="lastCol">
      <w:rPr>
        <w:b/>
        <w:bCs/>
        <w:color w:val="FFFFFF" w:themeColor="background1"/>
      </w:rPr>
      <w:tblPr/>
      <w:tcPr>
        <w:tcBorders>
          <w:left w:val="nil"/>
          <w:right w:val="nil"/>
          <w:insideH w:val="nil"/>
          <w:insideV w:val="nil"/>
        </w:tcBorders>
        <w:shd w:val="clear" w:color="auto" w:fill="6E90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B6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B6A8" w:themeFill="accent6"/>
      </w:tcPr>
    </w:tblStylePr>
    <w:tblStylePr w:type="lastCol">
      <w:rPr>
        <w:b/>
        <w:bCs/>
        <w:color w:val="FFFFFF" w:themeColor="background1"/>
      </w:rPr>
      <w:tblPr/>
      <w:tcPr>
        <w:tcBorders>
          <w:left w:val="nil"/>
          <w:right w:val="nil"/>
          <w:insideH w:val="nil"/>
          <w:insideV w:val="nil"/>
        </w:tcBorders>
        <w:shd w:val="clear" w:color="auto" w:fill="ADB6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17"/>
    <w:qFormat/>
    <w:rsid w:val="00F80750"/>
    <w:rPr>
      <w:b/>
      <w:bCs/>
      <w:noProof w:val="0"/>
      <w:lang w:val="en-AU"/>
    </w:rPr>
  </w:style>
  <w:style w:type="paragraph" w:styleId="Subtitle">
    <w:name w:val="Subtitle"/>
    <w:basedOn w:val="Normal"/>
    <w:next w:val="Normal"/>
    <w:link w:val="SubtitleChar"/>
    <w:uiPriority w:val="19"/>
    <w:semiHidden/>
    <w:unhideWhenUsed/>
    <w:qFormat/>
    <w:locked/>
    <w:rsid w:val="00F80750"/>
    <w:pPr>
      <w:numPr>
        <w:ilvl w:val="1"/>
      </w:numPr>
    </w:pPr>
    <w:rPr>
      <w:rFonts w:asciiTheme="majorHAnsi" w:eastAsiaTheme="majorEastAsia" w:hAnsiTheme="majorHAnsi" w:cstheme="majorBidi"/>
      <w:i/>
      <w:iCs/>
      <w:color w:val="00456B" w:themeColor="accent1"/>
      <w:spacing w:val="15"/>
    </w:rPr>
  </w:style>
  <w:style w:type="character" w:customStyle="1" w:styleId="SubtitleChar">
    <w:name w:val="Subtitle Char"/>
    <w:basedOn w:val="DefaultParagraphFont"/>
    <w:link w:val="Subtitle"/>
    <w:uiPriority w:val="19"/>
    <w:semiHidden/>
    <w:rsid w:val="00083512"/>
    <w:rPr>
      <w:rFonts w:asciiTheme="majorHAnsi" w:eastAsiaTheme="majorEastAsia" w:hAnsiTheme="majorHAnsi" w:cstheme="majorBidi"/>
      <w:i/>
      <w:iCs/>
      <w:color w:val="00456B"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58E1A"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0750"/>
    <w:rPr>
      <w:rFonts w:asciiTheme="majorHAnsi" w:eastAsiaTheme="majorEastAsia" w:hAnsiTheme="majorHAnsi" w:cstheme="majorBidi"/>
      <w:b/>
      <w:bCs/>
    </w:rPr>
  </w:style>
  <w:style w:type="paragraph" w:styleId="TOC2">
    <w:name w:val="toc 2"/>
    <w:basedOn w:val="Normal"/>
    <w:next w:val="Normal"/>
    <w:autoRedefine/>
    <w:uiPriority w:val="39"/>
    <w:rsid w:val="00E405DE"/>
    <w:pPr>
      <w:tabs>
        <w:tab w:val="left" w:pos="635"/>
        <w:tab w:val="left" w:pos="1140"/>
        <w:tab w:val="right" w:leader="dot" w:pos="9639"/>
      </w:tabs>
      <w:spacing w:after="100"/>
      <w:ind w:left="442"/>
      <w:contextualSpacing/>
    </w:pPr>
  </w:style>
  <w:style w:type="paragraph" w:styleId="TOC3">
    <w:name w:val="toc 3"/>
    <w:basedOn w:val="Normal"/>
    <w:next w:val="Normal"/>
    <w:autoRedefine/>
    <w:uiPriority w:val="39"/>
    <w:rsid w:val="00E405DE"/>
    <w:pPr>
      <w:tabs>
        <w:tab w:val="left" w:pos="1644"/>
        <w:tab w:val="left" w:pos="2030"/>
        <w:tab w:val="right" w:leader="dot" w:pos="9639"/>
      </w:tabs>
      <w:spacing w:after="100"/>
      <w:ind w:left="114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AppendixHeading">
    <w:name w:val="Appendix Heading"/>
    <w:basedOn w:val="Heading1"/>
    <w:next w:val="Normal"/>
    <w:uiPriority w:val="11"/>
    <w:qFormat/>
    <w:rsid w:val="00034A19"/>
    <w:pPr>
      <w:numPr>
        <w:ilvl w:val="5"/>
      </w:numPr>
    </w:pPr>
  </w:style>
  <w:style w:type="paragraph" w:customStyle="1" w:styleId="Notes">
    <w:name w:val="Notes"/>
    <w:basedOn w:val="Normal"/>
    <w:semiHidden/>
    <w:qFormat/>
    <w:locked/>
    <w:rsid w:val="00503A51"/>
    <w:pPr>
      <w:numPr>
        <w:ilvl w:val="4"/>
        <w:numId w:val="8"/>
      </w:numPr>
      <w:spacing w:after="240"/>
      <w:jc w:val="both"/>
    </w:pPr>
    <w:rPr>
      <w:sz w:val="20"/>
    </w:rPr>
  </w:style>
  <w:style w:type="numbering" w:customStyle="1" w:styleId="GeneralList">
    <w:name w:val="General List"/>
    <w:uiPriority w:val="99"/>
    <w:locked/>
    <w:rsid w:val="00503A51"/>
    <w:pPr>
      <w:numPr>
        <w:numId w:val="7"/>
      </w:numPr>
    </w:pPr>
  </w:style>
  <w:style w:type="numbering" w:customStyle="1" w:styleId="CustomHeadingList">
    <w:name w:val="Custom Heading List"/>
    <w:uiPriority w:val="99"/>
    <w:rsid w:val="003A3021"/>
    <w:pPr>
      <w:numPr>
        <w:numId w:val="9"/>
      </w:numPr>
    </w:pPr>
  </w:style>
  <w:style w:type="paragraph" w:customStyle="1" w:styleId="Introduction">
    <w:name w:val="Introduction"/>
    <w:basedOn w:val="Normal"/>
    <w:uiPriority w:val="10"/>
    <w:qFormat/>
    <w:rsid w:val="00012728"/>
    <w:rPr>
      <w:sz w:val="28"/>
    </w:rPr>
  </w:style>
  <w:style w:type="paragraph" w:customStyle="1" w:styleId="CoverReportNumber">
    <w:name w:val="Cover Report Number"/>
    <w:basedOn w:val="Normal"/>
    <w:uiPriority w:val="19"/>
    <w:qFormat/>
    <w:rsid w:val="00755163"/>
    <w:pPr>
      <w:spacing w:after="0"/>
    </w:pPr>
  </w:style>
  <w:style w:type="paragraph" w:customStyle="1" w:styleId="CoverVersionDate">
    <w:name w:val="Cover Version / Date"/>
    <w:basedOn w:val="CoverReportNumber"/>
    <w:uiPriority w:val="19"/>
    <w:qFormat/>
    <w:rsid w:val="00755163"/>
  </w:style>
  <w:style w:type="table" w:customStyle="1" w:styleId="CustomTable">
    <w:name w:val="Custom Table"/>
    <w:basedOn w:val="TableGrid"/>
    <w:uiPriority w:val="99"/>
    <w:rsid w:val="00DC5900"/>
    <w:tblPr>
      <w:tblStyleRowBandSize w:val="1"/>
      <w:tblStyleColBandSize w:val="1"/>
    </w:tblPr>
    <w:tblStylePr w:type="firstRow">
      <w:rPr>
        <w:b/>
      </w:rPr>
      <w:tblPr/>
      <w:trPr>
        <w:tblHeader/>
      </w:trPr>
      <w:tcPr>
        <w:shd w:val="clear" w:color="auto" w:fill="00456B" w:themeFill="accent1"/>
      </w:tcPr>
    </w:tblStylePr>
    <w:tblStylePr w:type="lastRow">
      <w:rPr>
        <w:b/>
      </w:rPr>
    </w:tblStylePr>
    <w:tblStylePr w:type="firstCol">
      <w:rPr>
        <w:b/>
        <w:color w:val="FFFFFF" w:themeColor="background1"/>
      </w:rPr>
      <w:tblPr/>
      <w:tcPr>
        <w:shd w:val="clear" w:color="auto" w:fill="6E90A6" w:themeFill="accent5"/>
      </w:tcPr>
    </w:tblStylePr>
    <w:tblStylePr w:type="lastCol">
      <w:pPr>
        <w:jc w:val="right"/>
      </w:pPr>
    </w:tblStylePr>
    <w:tblStylePr w:type="band2Vert">
      <w:tblPr/>
      <w:tcPr>
        <w:shd w:val="clear" w:color="auto" w:fill="F5F2F1" w:themeFill="accent3" w:themeFillTint="33"/>
      </w:tcPr>
    </w:tblStylePr>
    <w:tblStylePr w:type="band2Horz">
      <w:tblPr/>
      <w:tcPr>
        <w:shd w:val="clear" w:color="auto" w:fill="E1E8ED" w:themeFill="accent5" w:themeFillTint="33"/>
      </w:tcPr>
    </w:tblStylePr>
  </w:style>
  <w:style w:type="numbering" w:customStyle="1" w:styleId="ListLevel">
    <w:name w:val="List Level"/>
    <w:uiPriority w:val="99"/>
    <w:rsid w:val="00304932"/>
    <w:pPr>
      <w:numPr>
        <w:numId w:val="11"/>
      </w:numPr>
    </w:pPr>
  </w:style>
  <w:style w:type="paragraph" w:styleId="Revision">
    <w:name w:val="Revision"/>
    <w:hidden/>
    <w:uiPriority w:val="99"/>
    <w:semiHidden/>
    <w:rsid w:val="00E375B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033">
      <w:bodyDiv w:val="1"/>
      <w:marLeft w:val="0"/>
      <w:marRight w:val="0"/>
      <w:marTop w:val="0"/>
      <w:marBottom w:val="0"/>
      <w:divBdr>
        <w:top w:val="none" w:sz="0" w:space="0" w:color="auto"/>
        <w:left w:val="none" w:sz="0" w:space="0" w:color="auto"/>
        <w:bottom w:val="none" w:sz="0" w:space="0" w:color="auto"/>
        <w:right w:val="none" w:sz="0" w:space="0" w:color="auto"/>
      </w:divBdr>
    </w:div>
    <w:div w:id="39675764">
      <w:bodyDiv w:val="1"/>
      <w:marLeft w:val="0"/>
      <w:marRight w:val="0"/>
      <w:marTop w:val="0"/>
      <w:marBottom w:val="0"/>
      <w:divBdr>
        <w:top w:val="none" w:sz="0" w:space="0" w:color="auto"/>
        <w:left w:val="none" w:sz="0" w:space="0" w:color="auto"/>
        <w:bottom w:val="none" w:sz="0" w:space="0" w:color="auto"/>
        <w:right w:val="none" w:sz="0" w:space="0" w:color="auto"/>
      </w:divBdr>
      <w:divsChild>
        <w:div w:id="1879931716">
          <w:marLeft w:val="0"/>
          <w:marRight w:val="0"/>
          <w:marTop w:val="0"/>
          <w:marBottom w:val="0"/>
          <w:divBdr>
            <w:top w:val="none" w:sz="0" w:space="0" w:color="auto"/>
            <w:left w:val="none" w:sz="0" w:space="0" w:color="auto"/>
            <w:bottom w:val="none" w:sz="0" w:space="0" w:color="auto"/>
            <w:right w:val="none" w:sz="0" w:space="0" w:color="auto"/>
          </w:divBdr>
          <w:divsChild>
            <w:div w:id="1103113562">
              <w:marLeft w:val="0"/>
              <w:marRight w:val="0"/>
              <w:marTop w:val="0"/>
              <w:marBottom w:val="0"/>
              <w:divBdr>
                <w:top w:val="none" w:sz="0" w:space="0" w:color="auto"/>
                <w:left w:val="none" w:sz="0" w:space="0" w:color="auto"/>
                <w:bottom w:val="none" w:sz="0" w:space="0" w:color="auto"/>
                <w:right w:val="none" w:sz="0" w:space="0" w:color="auto"/>
              </w:divBdr>
              <w:divsChild>
                <w:div w:id="1037510627">
                  <w:marLeft w:val="0"/>
                  <w:marRight w:val="0"/>
                  <w:marTop w:val="0"/>
                  <w:marBottom w:val="0"/>
                  <w:divBdr>
                    <w:top w:val="none" w:sz="0" w:space="0" w:color="auto"/>
                    <w:left w:val="none" w:sz="0" w:space="0" w:color="auto"/>
                    <w:bottom w:val="none" w:sz="0" w:space="0" w:color="auto"/>
                    <w:right w:val="none" w:sz="0" w:space="0" w:color="auto"/>
                  </w:divBdr>
                  <w:divsChild>
                    <w:div w:id="1089422619">
                      <w:marLeft w:val="0"/>
                      <w:marRight w:val="0"/>
                      <w:marTop w:val="0"/>
                      <w:marBottom w:val="0"/>
                      <w:divBdr>
                        <w:top w:val="none" w:sz="0" w:space="0" w:color="auto"/>
                        <w:left w:val="none" w:sz="0" w:space="0" w:color="auto"/>
                        <w:bottom w:val="none" w:sz="0" w:space="0" w:color="auto"/>
                        <w:right w:val="none" w:sz="0" w:space="0" w:color="auto"/>
                      </w:divBdr>
                      <w:divsChild>
                        <w:div w:id="387725751">
                          <w:marLeft w:val="0"/>
                          <w:marRight w:val="0"/>
                          <w:marTop w:val="0"/>
                          <w:marBottom w:val="0"/>
                          <w:divBdr>
                            <w:top w:val="none" w:sz="0" w:space="0" w:color="auto"/>
                            <w:left w:val="none" w:sz="0" w:space="0" w:color="auto"/>
                            <w:bottom w:val="none" w:sz="0" w:space="0" w:color="auto"/>
                            <w:right w:val="none" w:sz="0" w:space="0" w:color="auto"/>
                          </w:divBdr>
                          <w:divsChild>
                            <w:div w:id="1195193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53104489">
      <w:bodyDiv w:val="1"/>
      <w:marLeft w:val="0"/>
      <w:marRight w:val="0"/>
      <w:marTop w:val="0"/>
      <w:marBottom w:val="0"/>
      <w:divBdr>
        <w:top w:val="none" w:sz="0" w:space="0" w:color="auto"/>
        <w:left w:val="none" w:sz="0" w:space="0" w:color="auto"/>
        <w:bottom w:val="none" w:sz="0" w:space="0" w:color="auto"/>
        <w:right w:val="none" w:sz="0" w:space="0" w:color="auto"/>
      </w:divBdr>
    </w:div>
    <w:div w:id="178323789">
      <w:bodyDiv w:val="1"/>
      <w:marLeft w:val="0"/>
      <w:marRight w:val="0"/>
      <w:marTop w:val="0"/>
      <w:marBottom w:val="0"/>
      <w:divBdr>
        <w:top w:val="none" w:sz="0" w:space="0" w:color="auto"/>
        <w:left w:val="none" w:sz="0" w:space="0" w:color="auto"/>
        <w:bottom w:val="none" w:sz="0" w:space="0" w:color="auto"/>
        <w:right w:val="none" w:sz="0" w:space="0" w:color="auto"/>
      </w:divBdr>
    </w:div>
    <w:div w:id="218130398">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30453517">
      <w:bodyDiv w:val="1"/>
      <w:marLeft w:val="0"/>
      <w:marRight w:val="0"/>
      <w:marTop w:val="0"/>
      <w:marBottom w:val="0"/>
      <w:divBdr>
        <w:top w:val="none" w:sz="0" w:space="0" w:color="auto"/>
        <w:left w:val="none" w:sz="0" w:space="0" w:color="auto"/>
        <w:bottom w:val="none" w:sz="0" w:space="0" w:color="auto"/>
        <w:right w:val="none" w:sz="0" w:space="0" w:color="auto"/>
      </w:divBdr>
    </w:div>
    <w:div w:id="1041518199">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959484942">
      <w:bodyDiv w:val="1"/>
      <w:marLeft w:val="0"/>
      <w:marRight w:val="0"/>
      <w:marTop w:val="0"/>
      <w:marBottom w:val="0"/>
      <w:divBdr>
        <w:top w:val="none" w:sz="0" w:space="0" w:color="auto"/>
        <w:left w:val="none" w:sz="0" w:space="0" w:color="auto"/>
        <w:bottom w:val="none" w:sz="0" w:space="0" w:color="auto"/>
        <w:right w:val="none" w:sz="0" w:space="0" w:color="auto"/>
      </w:divBdr>
      <w:divsChild>
        <w:div w:id="519245898">
          <w:marLeft w:val="0"/>
          <w:marRight w:val="0"/>
          <w:marTop w:val="0"/>
          <w:marBottom w:val="0"/>
          <w:divBdr>
            <w:top w:val="none" w:sz="0" w:space="0" w:color="auto"/>
            <w:left w:val="none" w:sz="0" w:space="0" w:color="auto"/>
            <w:bottom w:val="none" w:sz="0" w:space="0" w:color="auto"/>
            <w:right w:val="none" w:sz="0" w:space="0" w:color="auto"/>
          </w:divBdr>
          <w:divsChild>
            <w:div w:id="1300838248">
              <w:marLeft w:val="0"/>
              <w:marRight w:val="0"/>
              <w:marTop w:val="0"/>
              <w:marBottom w:val="0"/>
              <w:divBdr>
                <w:top w:val="none" w:sz="0" w:space="0" w:color="auto"/>
                <w:left w:val="none" w:sz="0" w:space="0" w:color="auto"/>
                <w:bottom w:val="none" w:sz="0" w:space="0" w:color="auto"/>
                <w:right w:val="none" w:sz="0" w:space="0" w:color="auto"/>
              </w:divBdr>
              <w:divsChild>
                <w:div w:id="930432877">
                  <w:marLeft w:val="0"/>
                  <w:marRight w:val="0"/>
                  <w:marTop w:val="0"/>
                  <w:marBottom w:val="0"/>
                  <w:divBdr>
                    <w:top w:val="none" w:sz="0" w:space="0" w:color="auto"/>
                    <w:left w:val="none" w:sz="0" w:space="0" w:color="auto"/>
                    <w:bottom w:val="none" w:sz="0" w:space="0" w:color="auto"/>
                    <w:right w:val="none" w:sz="0" w:space="0" w:color="auto"/>
                  </w:divBdr>
                  <w:divsChild>
                    <w:div w:id="1012995271">
                      <w:marLeft w:val="0"/>
                      <w:marRight w:val="0"/>
                      <w:marTop w:val="0"/>
                      <w:marBottom w:val="0"/>
                      <w:divBdr>
                        <w:top w:val="none" w:sz="0" w:space="0" w:color="auto"/>
                        <w:left w:val="none" w:sz="0" w:space="0" w:color="auto"/>
                        <w:bottom w:val="none" w:sz="0" w:space="0" w:color="auto"/>
                        <w:right w:val="none" w:sz="0" w:space="0" w:color="auto"/>
                      </w:divBdr>
                      <w:divsChild>
                        <w:div w:id="1404137885">
                          <w:marLeft w:val="0"/>
                          <w:marRight w:val="0"/>
                          <w:marTop w:val="0"/>
                          <w:marBottom w:val="0"/>
                          <w:divBdr>
                            <w:top w:val="none" w:sz="0" w:space="0" w:color="auto"/>
                            <w:left w:val="none" w:sz="0" w:space="0" w:color="auto"/>
                            <w:bottom w:val="none" w:sz="0" w:space="0" w:color="auto"/>
                            <w:right w:val="none" w:sz="0" w:space="0" w:color="auto"/>
                          </w:divBdr>
                          <w:divsChild>
                            <w:div w:id="226571069">
                              <w:marLeft w:val="0"/>
                              <w:marRight w:val="0"/>
                              <w:marTop w:val="0"/>
                              <w:marBottom w:val="0"/>
                              <w:divBdr>
                                <w:top w:val="none" w:sz="0" w:space="0" w:color="auto"/>
                                <w:left w:val="none" w:sz="0" w:space="0" w:color="auto"/>
                                <w:bottom w:val="none" w:sz="0" w:space="0" w:color="auto"/>
                                <w:right w:val="none" w:sz="0" w:space="0" w:color="auto"/>
                              </w:divBdr>
                              <w:divsChild>
                                <w:div w:id="943000537">
                                  <w:marLeft w:val="0"/>
                                  <w:marRight w:val="0"/>
                                  <w:marTop w:val="0"/>
                                  <w:marBottom w:val="0"/>
                                  <w:divBdr>
                                    <w:top w:val="none" w:sz="0" w:space="0" w:color="auto"/>
                                    <w:left w:val="none" w:sz="0" w:space="0" w:color="auto"/>
                                    <w:bottom w:val="none" w:sz="0" w:space="0" w:color="auto"/>
                                    <w:right w:val="none" w:sz="0" w:space="0" w:color="auto"/>
                                  </w:divBdr>
                                  <w:divsChild>
                                    <w:div w:id="2106076101">
                                      <w:marLeft w:val="0"/>
                                      <w:marRight w:val="0"/>
                                      <w:marTop w:val="0"/>
                                      <w:marBottom w:val="0"/>
                                      <w:divBdr>
                                        <w:top w:val="none" w:sz="0" w:space="0" w:color="auto"/>
                                        <w:left w:val="none" w:sz="0" w:space="0" w:color="auto"/>
                                        <w:bottom w:val="none" w:sz="0" w:space="0" w:color="auto"/>
                                        <w:right w:val="none" w:sz="0" w:space="0" w:color="auto"/>
                                      </w:divBdr>
                                      <w:divsChild>
                                        <w:div w:id="361789301">
                                          <w:marLeft w:val="0"/>
                                          <w:marRight w:val="0"/>
                                          <w:marTop w:val="0"/>
                                          <w:marBottom w:val="0"/>
                                          <w:divBdr>
                                            <w:top w:val="none" w:sz="0" w:space="0" w:color="auto"/>
                                            <w:left w:val="none" w:sz="0" w:space="0" w:color="auto"/>
                                            <w:bottom w:val="none" w:sz="0" w:space="0" w:color="auto"/>
                                            <w:right w:val="none" w:sz="0" w:space="0" w:color="auto"/>
                                          </w:divBdr>
                                          <w:divsChild>
                                            <w:div w:id="1419981614">
                                              <w:marLeft w:val="0"/>
                                              <w:marRight w:val="0"/>
                                              <w:marTop w:val="0"/>
                                              <w:marBottom w:val="0"/>
                                              <w:divBdr>
                                                <w:top w:val="none" w:sz="0" w:space="0" w:color="auto"/>
                                                <w:left w:val="none" w:sz="0" w:space="0" w:color="auto"/>
                                                <w:bottom w:val="none" w:sz="0" w:space="0" w:color="auto"/>
                                                <w:right w:val="none" w:sz="0" w:space="0" w:color="auto"/>
                                              </w:divBdr>
                                              <w:divsChild>
                                                <w:div w:id="13773729">
                                                  <w:marLeft w:val="0"/>
                                                  <w:marRight w:val="0"/>
                                                  <w:marTop w:val="0"/>
                                                  <w:marBottom w:val="0"/>
                                                  <w:divBdr>
                                                    <w:top w:val="none" w:sz="0" w:space="0" w:color="auto"/>
                                                    <w:left w:val="none" w:sz="0" w:space="0" w:color="auto"/>
                                                    <w:bottom w:val="none" w:sz="0" w:space="0" w:color="auto"/>
                                                    <w:right w:val="none" w:sz="0" w:space="0" w:color="auto"/>
                                                  </w:divBdr>
                                                  <w:divsChild>
                                                    <w:div w:id="537277106">
                                                      <w:marLeft w:val="0"/>
                                                      <w:marRight w:val="0"/>
                                                      <w:marTop w:val="300"/>
                                                      <w:marBottom w:val="0"/>
                                                      <w:divBdr>
                                                        <w:top w:val="none" w:sz="0" w:space="0" w:color="auto"/>
                                                        <w:left w:val="none" w:sz="0" w:space="0" w:color="auto"/>
                                                        <w:bottom w:val="none" w:sz="0" w:space="0" w:color="auto"/>
                                                        <w:right w:val="none" w:sz="0" w:space="0" w:color="auto"/>
                                                      </w:divBdr>
                                                      <w:divsChild>
                                                        <w:div w:id="2022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42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Accessibility.dotm" TargetMode="External"/></Relationships>
</file>

<file path=word/theme/theme1.xml><?xml version="1.0" encoding="utf-8"?>
<a:theme xmlns:a="http://schemas.openxmlformats.org/drawingml/2006/main" name="Office Theme">
  <a:themeElements>
    <a:clrScheme name="Nillumbik SC">
      <a:dk1>
        <a:sysClr val="windowText" lastClr="000000"/>
      </a:dk1>
      <a:lt1>
        <a:sysClr val="window" lastClr="FFFFFF"/>
      </a:lt1>
      <a:dk2>
        <a:srgbClr val="00456B"/>
      </a:dk2>
      <a:lt2>
        <a:srgbClr val="E2E9ED"/>
      </a:lt2>
      <a:accent1>
        <a:srgbClr val="00456B"/>
      </a:accent1>
      <a:accent2>
        <a:srgbClr val="E58E1A"/>
      </a:accent2>
      <a:accent3>
        <a:srgbClr val="CDC3BD"/>
      </a:accent3>
      <a:accent4>
        <a:srgbClr val="B4786C"/>
      </a:accent4>
      <a:accent5>
        <a:srgbClr val="6E90A6"/>
      </a:accent5>
      <a:accent6>
        <a:srgbClr val="ADB6A8"/>
      </a:accent6>
      <a:hlink>
        <a:srgbClr val="E58E1A"/>
      </a:hlink>
      <a:folHlink>
        <a:srgbClr val="0045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NSC Document" ma:contentTypeID="0x0101000427F62DB85EA749944C48D2326AB04100DD579218AE42C24787BB617687946BE6" ma:contentTypeVersion="68" ma:contentTypeDescription="" ma:contentTypeScope="" ma:versionID="b0d77f73b20f2ef21974ab561839a6b6">
  <xsd:schema xmlns:xsd="http://www.w3.org/2001/XMLSchema" xmlns:xs="http://www.w3.org/2001/XMLSchema" xmlns:p="http://schemas.microsoft.com/office/2006/metadata/properties" xmlns:ns2="26862788-80d8-4ba8-b7eb-4533621a9594" xmlns:ns3="094ddc99-cd1b-465c-9a01-e266754d4fdf" targetNamespace="http://schemas.microsoft.com/office/2006/metadata/properties" ma:root="true" ma:fieldsID="b2eb15c1bc18a8d091b2b954d5d18d0a" ns2:_="" ns3:_="">
    <xsd:import namespace="26862788-80d8-4ba8-b7eb-4533621a9594"/>
    <xsd:import namespace="094ddc99-cd1b-465c-9a01-e266754d4fdf"/>
    <xsd:element name="properties">
      <xsd:complexType>
        <xsd:sequence>
          <xsd:element name="documentManagement">
            <xsd:complexType>
              <xsd:all>
                <xsd:element ref="ns2:a61ae508c6694d3eabd5c4bf0ac5e8e6" minOccurs="0"/>
                <xsd:element ref="ns2:TaxCatchAll" minOccurs="0"/>
                <xsd:element ref="ns2:TaxCatchAllLabel" minOccurs="0"/>
                <xsd:element ref="ns2:ie805ea53a354a4bb1e5c081d8fc6b50" minOccurs="0"/>
                <xsd:element ref="ns2:nb83ad0d8b6542a0953aad1a19640a7a" minOccurs="0"/>
                <xsd:element ref="ns2:_dlc_DocId" minOccurs="0"/>
                <xsd:element ref="ns2:_dlc_DocIdUrl" minOccurs="0"/>
                <xsd:element ref="ns2:_dlc_DocIdPersistId" minOccurs="0"/>
                <xsd:element ref="ns3:ne7cbe2a140246beb74eeafa627c837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a61ae508c6694d3eabd5c4bf0ac5e8e6" ma:index="8"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23346d8-defd-4273-baad-05e818f4b141}" ma:internalName="TaxCatchAll" ma:showField="CatchAllData" ma:web="094ddc99-cd1b-465c-9a01-e266754d4f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23346d8-defd-4273-baad-05e818f4b141}" ma:internalName="TaxCatchAllLabel" ma:readOnly="true" ma:showField="CatchAllDataLabel" ma:web="094ddc99-cd1b-465c-9a01-e266754d4fdf">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4ddc99-cd1b-465c-9a01-e266754d4fdf" elementFormDefault="qualified">
    <xsd:import namespace="http://schemas.microsoft.com/office/2006/documentManagement/types"/>
    <xsd:import namespace="http://schemas.microsoft.com/office/infopath/2007/PartnerControls"/>
    <xsd:element name="ne7cbe2a140246beb74eeafa627c8377" ma:index="19" ma:taxonomy="true" ma:internalName="ne7cbe2a140246beb74eeafa627c8377" ma:taxonomyFieldName="NSC_BusinessSubject" ma:displayName="Business Subject" ma:readOnly="false" ma:default="1016;#Council-wide Policy|b38fb276-d85c-4d80-8201-5a557ac5240b" ma:fieldId="{7e7cbe2a-1402-46be-b74e-eafa627c8377}" ma:sspId="9e4672c0-7a1b-4167-8664-1f3b422d4b4e" ma:termSetId="5fe89956-2e3a-44ba-b063-75c8023068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61ae508c6694d3eabd5c4bf0ac5e8e6 xmlns="26862788-80d8-4ba8-b7eb-4533621a9594">
      <Terms xmlns="http://schemas.microsoft.com/office/infopath/2007/PartnerControls"/>
    </a61ae508c6694d3eabd5c4bf0ac5e8e6>
    <TaxCatchAll xmlns="26862788-80d8-4ba8-b7eb-4533621a9594">
      <Value>439</Value>
      <Value>1075</Value>
      <Value>1016</Value>
      <Value>114</Value>
      <Value>385</Value>
    </TaxCatchAll>
    <ie805ea53a354a4bb1e5c081d8fc6b50 xmlns="26862788-80d8-4ba8-b7eb-4533621a9594">
      <Terms xmlns="http://schemas.microsoft.com/office/infopath/2007/PartnerControls">
        <TermInfo xmlns="http://schemas.microsoft.com/office/infopath/2007/PartnerControls">
          <TermName>2018</TermName>
          <TermId>37a2eafe-52ba-4d20-a97f-b6399024e086</TermId>
        </TermInfo>
      </Terms>
    </ie805ea53a354a4bb1e5c081d8fc6b50>
    <_dlc_DocId xmlns="26862788-80d8-4ba8-b7eb-4533621a9594">NBIK-450-39</_dlc_DocId>
    <_dlc_DocIdUrl xmlns="26862788-80d8-4ba8-b7eb-4533621a9594">
      <Url>http://sonic/policies/_layouts/DocIdRedir.aspx?ID=NBIK-450-39</Url>
      <Description>NBIK-450-39</Description>
    </_dlc_DocIdUrl>
    <nb83ad0d8b6542a0953aad1a19640a7a xmlns="26862788-80d8-4ba8-b7eb-4533621a959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e90516d2-656a-418a-8f89-3a00a854a88f</TermId>
        </TermInfo>
      </Terms>
    </nb83ad0d8b6542a0953aad1a19640a7a>
    <ne7cbe2a140246beb74eeafa627c8377 xmlns="094ddc99-cd1b-465c-9a01-e266754d4fdf">
      <Terms xmlns="http://schemas.microsoft.com/office/infopath/2007/PartnerControls">
        <TermInfo xmlns="http://schemas.microsoft.com/office/infopath/2007/PartnerControls">
          <TermName>Council-wide Policy</TermName>
          <TermId>b38fb276-d85c-4d80-8201-5a557ac5240b</TermId>
        </TermInfo>
      </Terms>
    </ne7cbe2a140246beb74eeafa627c8377>
  </documentManagement>
</p:properties>
</file>

<file path=customXml/item6.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93FB-8F7D-4D86-A4E0-37EA19B9F05E}">
  <ds:schemaRefs>
    <ds:schemaRef ds:uri="http://schemas.microsoft.com/sharepoint/events"/>
  </ds:schemaRefs>
</ds:datastoreItem>
</file>

<file path=customXml/itemProps2.xml><?xml version="1.0" encoding="utf-8"?>
<ds:datastoreItem xmlns:ds="http://schemas.openxmlformats.org/officeDocument/2006/customXml" ds:itemID="{C09EBDE2-3C60-43B5-9CF5-F9139F3EA25D}">
  <ds:schemaRefs>
    <ds:schemaRef ds:uri="Microsoft.SharePoint.Taxonomy.ContentTypeSync"/>
  </ds:schemaRefs>
</ds:datastoreItem>
</file>

<file path=customXml/itemProps3.xml><?xml version="1.0" encoding="utf-8"?>
<ds:datastoreItem xmlns:ds="http://schemas.openxmlformats.org/officeDocument/2006/customXml" ds:itemID="{45E884DC-5F69-49E4-A652-B7E65A4B9B04}">
  <ds:schemaRefs>
    <ds:schemaRef ds:uri="http://schemas.microsoft.com/office/2006/metadata/customXsn"/>
  </ds:schemaRefs>
</ds:datastoreItem>
</file>

<file path=customXml/itemProps4.xml><?xml version="1.0" encoding="utf-8"?>
<ds:datastoreItem xmlns:ds="http://schemas.openxmlformats.org/officeDocument/2006/customXml" ds:itemID="{8B67D83F-22CE-45E4-8F0A-25DCDC479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094ddc99-cd1b-465c-9a01-e266754d4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AB1169-21CF-48D7-A7FA-984EFA77463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94ddc99-cd1b-465c-9a01-e266754d4fdf"/>
    <ds:schemaRef ds:uri="http://schemas.microsoft.com/office/2006/metadata/properties"/>
    <ds:schemaRef ds:uri="http://purl.org/dc/terms/"/>
    <ds:schemaRef ds:uri="26862788-80d8-4ba8-b7eb-4533621a9594"/>
    <ds:schemaRef ds:uri="http://www.w3.org/XML/1998/namespace"/>
    <ds:schemaRef ds:uri="http://purl.org/dc/dcmitype/"/>
  </ds:schemaRefs>
</ds:datastoreItem>
</file>

<file path=customXml/itemProps6.xml><?xml version="1.0" encoding="utf-8"?>
<ds:datastoreItem xmlns:ds="http://schemas.openxmlformats.org/officeDocument/2006/customXml" ds:itemID="{5FCAAA58-93B2-4B0D-B942-3774138F0FEC}">
  <ds:schemaRefs>
    <ds:schemaRef ds:uri="http://schemas.microsoft.com/office/2006/customDocumentInformationPanel"/>
  </ds:schemaRefs>
</ds:datastoreItem>
</file>

<file path=customXml/itemProps7.xml><?xml version="1.0" encoding="utf-8"?>
<ds:datastoreItem xmlns:ds="http://schemas.openxmlformats.org/officeDocument/2006/customXml" ds:itemID="{ACB1E891-5ABD-4574-AC69-F42FA3F5AFAC}">
  <ds:schemaRefs>
    <ds:schemaRef ds:uri="http://schemas.microsoft.com/sharepoint/v3/contenttype/forms"/>
  </ds:schemaRefs>
</ds:datastoreItem>
</file>

<file path=customXml/itemProps8.xml><?xml version="1.0" encoding="utf-8"?>
<ds:datastoreItem xmlns:ds="http://schemas.openxmlformats.org/officeDocument/2006/customXml" ds:itemID="{0BC9D6F7-C58B-454C-B31D-2C69495D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Accessibility</Template>
  <TotalTime>0</TotalTime>
  <Pages>11</Pages>
  <Words>2979</Words>
  <Characters>16981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SM25 - Fees charges and refunds policy v5</vt:lpstr>
    </vt:vector>
  </TitlesOfParts>
  <Company>Nillumbik Shire Council</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SM25 - Fees charges and refunds policy v5</dc:title>
  <dc:creator>Karyn Kamminga</dc:creator>
  <cp:lastModifiedBy>Karyn Kamminga</cp:lastModifiedBy>
  <cp:revision>2</cp:revision>
  <cp:lastPrinted>2018-11-12T01:22:00Z</cp:lastPrinted>
  <dcterms:created xsi:type="dcterms:W3CDTF">2019-02-18T05:15:00Z</dcterms:created>
  <dcterms:modified xsi:type="dcterms:W3CDTF">2019-02-18T05:15:00Z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0x0101000427F62DB85EA749944C48D2326AB04100DD579218AE42C24787BB617687946BE6</vt:lpwstr>
  </property>
  <property fmtid="{D5CDD505-2E9C-101B-9397-08002B2CF9AE}" pid="3" name="Course_x0020__x002F__x0020_Event">
    <vt:lpwstr>54;#All VET courses|1cee47aa-d99c-4d53-ad61-804a7a1acb46</vt:lpwstr>
  </property>
  <property fmtid="{D5CDD505-2E9C-101B-9397-08002B2CF9AE}" pid="4" name="Document_x0020_Type">
    <vt:lpwstr>385;#Policy|e90516d2-656a-418a-8f89-3a00a854a88f</vt:lpwstr>
  </property>
  <property fmtid="{D5CDD505-2E9C-101B-9397-08002B2CF9AE}" pid="5" name="BusinessSubject">
    <vt:lpwstr>522;#Policy Creation|2339faaf-7f5d-4b07-8d73-7a742c7a5486</vt:lpwstr>
  </property>
  <property fmtid="{D5CDD505-2E9C-101B-9397-08002B2CF9AE}" pid="6" name="Year">
    <vt:lpwstr>1075;#2018|37a2eafe-52ba-4d20-a97f-b6399024e086</vt:lpwstr>
  </property>
  <property fmtid="{D5CDD505-2E9C-101B-9397-08002B2CF9AE}" pid="7" name="Month">
    <vt:lpwstr/>
  </property>
  <property fmtid="{D5CDD505-2E9C-101B-9397-08002B2CF9AE}" pid="8" name="Organisational_x0020__x002F__x0020_Body">
    <vt:lpwstr/>
  </property>
  <property fmtid="{D5CDD505-2E9C-101B-9397-08002B2CF9AE}" pid="9" name="Standards_x0020__x002F__x0020_Guidelines">
    <vt:lpwstr/>
  </property>
  <property fmtid="{D5CDD505-2E9C-101B-9397-08002B2CF9AE}" pid="10" name="Organisational / Body">
    <vt:lpwstr/>
  </property>
  <property fmtid="{D5CDD505-2E9C-101B-9397-08002B2CF9AE}" pid="11" name="Course / Event">
    <vt:lpwstr/>
  </property>
  <property fmtid="{D5CDD505-2E9C-101B-9397-08002B2CF9AE}" pid="12" name="Document Type">
    <vt:lpwstr>385;#Policy|e90516d2-656a-418a-8f89-3a00a854a88f</vt:lpwstr>
  </property>
  <property fmtid="{D5CDD505-2E9C-101B-9397-08002B2CF9AE}" pid="13" name="Standards / Guidelines">
    <vt:lpwstr/>
  </property>
  <property fmtid="{D5CDD505-2E9C-101B-9397-08002B2CF9AE}" pid="14" name="QMS_x0020_Document_x0020_Type">
    <vt:lpwstr>255;#Policy or procedure|d1fa9a7f-50c6-44a2-8268-30dff8d98de7</vt:lpwstr>
  </property>
  <property fmtid="{D5CDD505-2E9C-101B-9397-08002B2CF9AE}" pid="15" name="QMS_x0020_Business_x0020_Area">
    <vt:lpwstr>253;#Training and Assessment|03c3d37f-da72-4c56-8ef3-906e70374397</vt:lpwstr>
  </property>
  <property fmtid="{D5CDD505-2E9C-101B-9397-08002B2CF9AE}" pid="16" name="QMS Business Area">
    <vt:lpwstr>256;#Student Management|28953785-5531-4952-8454-0b1f7dcee019</vt:lpwstr>
  </property>
  <property fmtid="{D5CDD505-2E9C-101B-9397-08002B2CF9AE}" pid="17" name="QMS Document Type">
    <vt:lpwstr>255;#Policy or procedure|d1fa9a7f-50c6-44a2-8268-30dff8d98de7</vt:lpwstr>
  </property>
  <property fmtid="{D5CDD505-2E9C-101B-9397-08002B2CF9AE}" pid="18" name="_dlc_DocIdItemGuid">
    <vt:lpwstr>ca74df4c-f7e6-4278-ba81-606c32407336</vt:lpwstr>
  </property>
  <property fmtid="{D5CDD505-2E9C-101B-9397-08002B2CF9AE}" pid="19" name="Policy_x0020_Type">
    <vt:lpwstr>114;#Policy|f002205f-7bed-4438-bacc-7470d5074dcd</vt:lpwstr>
  </property>
  <property fmtid="{D5CDD505-2E9C-101B-9397-08002B2CF9AE}" pid="20" name="Order">
    <vt:r8>1000</vt:r8>
  </property>
  <property fmtid="{D5CDD505-2E9C-101B-9397-08002B2CF9AE}" pid="21" name="NSC_BusinessSubject">
    <vt:lpwstr>1016;#Council-wide Policy|b38fb276-d85c-4d80-8201-5a557ac5240b</vt:lpwstr>
  </property>
  <property fmtid="{D5CDD505-2E9C-101B-9397-08002B2CF9AE}" pid="22" name="Group1">
    <vt:lpwstr>439;#Living and Learning|c4b7ca4c-4ba7-47e9-a67d-1769ca6c4bb8</vt:lpwstr>
  </property>
  <property fmtid="{D5CDD505-2E9C-101B-9397-08002B2CF9AE}" pid="23" name="Policy Type">
    <vt:lpwstr>114;#Policy|f002205f-7bed-4438-bacc-7470d5074dcd</vt:lpwstr>
  </property>
  <property fmtid="{D5CDD505-2E9C-101B-9397-08002B2CF9AE}" pid="24" name="nb83ad0d8b6542a0953aad1a19640a7a">
    <vt:lpwstr>Policy|e90516d2-656a-418a-8f89-3a00a854a88f</vt:lpwstr>
  </property>
  <property fmtid="{D5CDD505-2E9C-101B-9397-08002B2CF9AE}" pid="25" name="Topic">
    <vt:lpwstr/>
  </property>
  <property fmtid="{D5CDD505-2E9C-101B-9397-08002B2CF9AE}" pid="26" name="j2e0a34e973943008ce205b7f21d15b9">
    <vt:lpwstr>Policy|f002205f-7bed-4438-bacc-7470d5074dcd</vt:lpwstr>
  </property>
  <property fmtid="{D5CDD505-2E9C-101B-9397-08002B2CF9AE}" pid="27" name="c759bfb44ccb4db0b546fbf512c01d9b">
    <vt:lpwstr>Living and Learning|c4b7ca4c-4ba7-47e9-a67d-1769ca6c4bb8</vt:lpwstr>
  </property>
</Properties>
</file>