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6FF6F" w14:textId="1E824F51" w:rsidR="004C2E78" w:rsidRPr="00C024F4" w:rsidRDefault="006219FA" w:rsidP="008B6B11">
      <w:pPr>
        <w:pStyle w:val="Title"/>
        <w:pBdr>
          <w:bottom w:val="single" w:sz="4" w:space="1" w:color="auto"/>
        </w:pBdr>
        <w:rPr>
          <w:sz w:val="36"/>
        </w:rPr>
      </w:pPr>
      <w:r>
        <w:t>Schedule of fees and charges</w:t>
      </w:r>
    </w:p>
    <w:p w14:paraId="4C4F1529" w14:textId="77777777" w:rsidR="006219FA" w:rsidRPr="006219FA" w:rsidRDefault="006219FA" w:rsidP="006219FA">
      <w:pPr>
        <w:pStyle w:val="Heading5"/>
      </w:pPr>
      <w:r w:rsidRPr="00CC1653">
        <w:t>Vocational Education and Training Courses</w:t>
      </w:r>
    </w:p>
    <w:p w14:paraId="10EBB1CB" w14:textId="07262009" w:rsidR="006219FA" w:rsidRPr="00F724DE" w:rsidRDefault="006219FA" w:rsidP="006219FA">
      <w:r w:rsidRPr="00F724DE">
        <w:t>This schedule of fees and charges applies to all enrolments in vocational education and training courses with Living &amp; Learning Nillumbik.  This includes nationally recognised qualifications and short courses (single units of competency and pre-accredited courses).  For information on when these fees are charged, refer to the F</w:t>
      </w:r>
      <w:r>
        <w:t>ees, charges and refunds policy.</w:t>
      </w:r>
    </w:p>
    <w:p w14:paraId="3D1081CD" w14:textId="77777777" w:rsidR="006219FA" w:rsidRDefault="006219FA" w:rsidP="006219FA">
      <w:pPr>
        <w:pStyle w:val="Heading5"/>
      </w:pPr>
      <w:r w:rsidRPr="00F724DE">
        <w:t>Tuition, amenities and materials fees</w:t>
      </w:r>
    </w:p>
    <w:p w14:paraId="3D507322" w14:textId="77777777" w:rsidR="006219FA" w:rsidRPr="00F724DE" w:rsidRDefault="006219FA" w:rsidP="006219FA">
      <w:r w:rsidRPr="00F724DE">
        <w:t xml:space="preserve">For qualifications courses, these fees are set out in the Fee Schedule for each course, which can be downloaded from the </w:t>
      </w:r>
      <w:hyperlink r:id="rId16" w:history="1">
        <w:r w:rsidRPr="00045786">
          <w:rPr>
            <w:rStyle w:val="Hyperlink"/>
          </w:rPr>
          <w:t>Living &amp; Learning Nillumbik website</w:t>
        </w:r>
      </w:hyperlink>
      <w:r w:rsidRPr="00F724DE">
        <w:t xml:space="preserve">: </w:t>
      </w:r>
    </w:p>
    <w:p w14:paraId="525DBB23" w14:textId="5CA79E0F" w:rsidR="006219FA" w:rsidRPr="00F724DE" w:rsidRDefault="006219FA" w:rsidP="006219FA">
      <w:r w:rsidRPr="00F724DE">
        <w:t>For short courses (including single units of competency and pre-accredited courses), these fees are set out on the relevant course page on the website.</w:t>
      </w:r>
    </w:p>
    <w:p w14:paraId="70E11B1C" w14:textId="77777777" w:rsidR="006219FA" w:rsidRDefault="006219FA" w:rsidP="006219FA">
      <w:pPr>
        <w:pStyle w:val="Heading5"/>
      </w:pPr>
      <w:r w:rsidRPr="00F724DE">
        <w:t>Recognition of Prior Learning (RPL)</w:t>
      </w:r>
    </w:p>
    <w:p w14:paraId="06D9E282" w14:textId="25678669" w:rsidR="006219FA" w:rsidRPr="00F724DE" w:rsidRDefault="006219FA" w:rsidP="006219FA">
      <w:r>
        <w:t>T</w:t>
      </w:r>
      <w:r w:rsidRPr="00F724DE">
        <w:t>his fee will be the same as the fee-for-service tuition fee set for the unit/s in that particular course.</w:t>
      </w:r>
    </w:p>
    <w:p w14:paraId="6FD346E7" w14:textId="77777777" w:rsidR="006219FA" w:rsidRPr="006219FA" w:rsidRDefault="006219FA" w:rsidP="006219FA">
      <w:pPr>
        <w:pStyle w:val="Heading5"/>
      </w:pPr>
      <w:r w:rsidRPr="00F724DE">
        <w:t>Re-assessment</w:t>
      </w:r>
    </w:p>
    <w:p w14:paraId="1753F62B" w14:textId="77777777" w:rsidR="006219FA" w:rsidRPr="00F724DE" w:rsidRDefault="006219FA" w:rsidP="006219FA">
      <w:r w:rsidRPr="00F724DE">
        <w:t>$70 per hour assessment fee</w:t>
      </w:r>
    </w:p>
    <w:p w14:paraId="0B1798D4" w14:textId="77777777" w:rsidR="006219FA" w:rsidRPr="006219FA" w:rsidRDefault="006219FA" w:rsidP="006219FA">
      <w:pPr>
        <w:pStyle w:val="Heading5"/>
      </w:pPr>
      <w:r w:rsidRPr="00F724DE">
        <w:t>Replacement certificate or statement of attainment</w:t>
      </w:r>
    </w:p>
    <w:p w14:paraId="234EC240" w14:textId="77777777" w:rsidR="006219FA" w:rsidRPr="00F724DE" w:rsidRDefault="006219FA" w:rsidP="006219FA">
      <w:r w:rsidRPr="00F724DE">
        <w:t>Certificates or statements awarded 2006 or later: $30 processing fee</w:t>
      </w:r>
      <w:r w:rsidRPr="00F724DE">
        <w:br/>
        <w:t>Certificates or statements awarded prior to 2006: $50 processing fee</w:t>
      </w:r>
    </w:p>
    <w:p w14:paraId="6E195E1D" w14:textId="77777777" w:rsidR="006219FA" w:rsidRPr="006219FA" w:rsidRDefault="006219FA" w:rsidP="006219FA">
      <w:pPr>
        <w:pStyle w:val="Heading5"/>
      </w:pPr>
      <w:r w:rsidRPr="00F724DE">
        <w:t>Withdrawals – nationally recognised qualification courses</w:t>
      </w:r>
    </w:p>
    <w:p w14:paraId="5E3C7A04" w14:textId="77777777" w:rsidR="006219FA" w:rsidRPr="00F724DE" w:rsidRDefault="006219FA" w:rsidP="006219FA">
      <w:r w:rsidRPr="00F724DE">
        <w:t>$100 administration fee</w:t>
      </w:r>
    </w:p>
    <w:p w14:paraId="5121D27B" w14:textId="77777777" w:rsidR="006219FA" w:rsidRPr="006219FA" w:rsidRDefault="006219FA" w:rsidP="006219FA">
      <w:pPr>
        <w:pStyle w:val="Heading5"/>
      </w:pPr>
      <w:r w:rsidRPr="00F724DE">
        <w:t>Withdrawals – short courses</w:t>
      </w:r>
    </w:p>
    <w:p w14:paraId="061EEA5F" w14:textId="07F44B50" w:rsidR="005822FD" w:rsidRPr="0048583D" w:rsidRDefault="006219FA" w:rsidP="0048583D">
      <w:pPr>
        <w:rPr>
          <w:b/>
          <w:sz w:val="20"/>
        </w:rPr>
      </w:pPr>
      <w:r w:rsidRPr="00F724DE">
        <w:t>$30 administration fee</w:t>
      </w:r>
      <w:bookmarkStart w:id="0" w:name="_GoBack"/>
      <w:bookmarkEnd w:id="0"/>
    </w:p>
    <w:sectPr w:rsidR="005822FD" w:rsidRPr="0048583D" w:rsidSect="00DC5900">
      <w:headerReference w:type="default" r:id="rId17"/>
      <w:footerReference w:type="default" r:id="rId18"/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69700" w14:textId="77777777" w:rsidR="00AF5893" w:rsidRPr="000D4EDE" w:rsidRDefault="00AF5893" w:rsidP="000D4EDE">
      <w:r>
        <w:separator/>
      </w:r>
    </w:p>
  </w:endnote>
  <w:endnote w:type="continuationSeparator" w:id="0">
    <w:p w14:paraId="567C9400" w14:textId="77777777" w:rsidR="00AF5893" w:rsidRPr="000D4EDE" w:rsidRDefault="00AF5893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96885" w14:textId="36DCF5E2" w:rsidR="00AE1CE1" w:rsidRPr="006219FA" w:rsidRDefault="00AE1CE1" w:rsidP="00AE1CE1">
    <w:pPr>
      <w:pBdr>
        <w:top w:val="single" w:sz="4" w:space="1" w:color="auto"/>
      </w:pBdr>
      <w:spacing w:line="240" w:lineRule="auto"/>
      <w:jc w:val="right"/>
      <w:rPr>
        <w:sz w:val="12"/>
      </w:rPr>
    </w:pPr>
  </w:p>
  <w:p w14:paraId="5D03F082" w14:textId="468AFE61" w:rsidR="0048583D" w:rsidRDefault="0048583D" w:rsidP="00AB1AE7">
    <w:pPr>
      <w:pBdr>
        <w:top w:val="single" w:sz="4" w:space="1" w:color="auto"/>
      </w:pBdr>
      <w:jc w:val="right"/>
    </w:pPr>
    <w:r w:rsidRPr="00BD7DF2">
      <w:rPr>
        <w:b/>
        <w:sz w:val="18"/>
      </w:rPr>
      <w:t>Nillumbik Shire Council trading as Living &amp; Learning Nillumbik - Registered Training Organisation No. 3989</w:t>
    </w:r>
  </w:p>
  <w:p w14:paraId="0D53C8CC" w14:textId="5681494B" w:rsidR="00AB1AE7" w:rsidRPr="00AB1AE7" w:rsidRDefault="00AB1AE7" w:rsidP="00AB1AE7">
    <w:pPr>
      <w:pBdr>
        <w:top w:val="single" w:sz="4" w:space="1" w:color="auto"/>
      </w:pBdr>
      <w:jc w:val="right"/>
      <w:rPr>
        <w:sz w:val="18"/>
      </w:rPr>
    </w:pPr>
    <w:r w:rsidRPr="00AB1AE7">
      <w:rPr>
        <w:sz w:val="18"/>
      </w:rPr>
      <w:t>739 Main Road Eltham 3095 - Phone: 9433 3744 - Email: living.learning@nillumbik.vic.gov.au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1E1F8" w14:textId="77777777" w:rsidR="00AF5893" w:rsidRPr="000D4EDE" w:rsidRDefault="00AF5893" w:rsidP="000D4EDE">
      <w:r>
        <w:separator/>
      </w:r>
    </w:p>
  </w:footnote>
  <w:footnote w:type="continuationSeparator" w:id="0">
    <w:p w14:paraId="3739E1EC" w14:textId="77777777" w:rsidR="00AF5893" w:rsidRPr="000D4EDE" w:rsidRDefault="00AF5893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53B55" w14:textId="4A0A400C" w:rsidR="00E54BCF" w:rsidRDefault="006219FA" w:rsidP="00AB1AE7">
    <w:pPr>
      <w:pStyle w:val="Header"/>
    </w:pPr>
    <w:r>
      <w:rPr>
        <w:noProof/>
        <w:lang w:eastAsia="en-AU"/>
      </w:rPr>
      <w:drawing>
        <wp:inline distT="0" distB="0" distL="0" distR="0" wp14:anchorId="0647F3C4" wp14:editId="23BA5714">
          <wp:extent cx="6120130" cy="1604010"/>
          <wp:effectExtent l="0" t="0" r="0" b="0"/>
          <wp:docPr id="1" name="Picture 1" descr="Living &amp; Learning Nillumbik - Where people share, learn and connect.  Phone 9433 3744.  Email living.learning@nillumbik.vic.gov.au.  www.livinglearningnillumbik.vic.gov.au.  Diamond Creek, 119 Cowin Street; Eltham, 739 Main Road; Panton Hill, 18 Bishops Road.  Nillumbik Shire Council trading as Living &amp; Learning Nillumbik, ABN 64 487 894 794.  Registered Training Organisation No. 3989." title="Living &amp; Learning Nillumbik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LLN%20Letterhead%20header%2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0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79EA51" w14:textId="77777777" w:rsidR="00AB1AE7" w:rsidRDefault="00AB1AE7" w:rsidP="00BD7DF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1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93"/>
    <w:rsid w:val="00005D98"/>
    <w:rsid w:val="00012728"/>
    <w:rsid w:val="00021B76"/>
    <w:rsid w:val="00025E32"/>
    <w:rsid w:val="00034A19"/>
    <w:rsid w:val="00036F9E"/>
    <w:rsid w:val="000413B3"/>
    <w:rsid w:val="00056D57"/>
    <w:rsid w:val="00070DFC"/>
    <w:rsid w:val="00083512"/>
    <w:rsid w:val="00086F71"/>
    <w:rsid w:val="00087EA3"/>
    <w:rsid w:val="000949AD"/>
    <w:rsid w:val="00095109"/>
    <w:rsid w:val="00096B0F"/>
    <w:rsid w:val="000A490E"/>
    <w:rsid w:val="000B63CA"/>
    <w:rsid w:val="000C1449"/>
    <w:rsid w:val="000C14D9"/>
    <w:rsid w:val="000D4EDE"/>
    <w:rsid w:val="000E0757"/>
    <w:rsid w:val="000E36F0"/>
    <w:rsid w:val="00111BCA"/>
    <w:rsid w:val="00123576"/>
    <w:rsid w:val="00124B21"/>
    <w:rsid w:val="00127F78"/>
    <w:rsid w:val="001653B6"/>
    <w:rsid w:val="00165F05"/>
    <w:rsid w:val="001820D0"/>
    <w:rsid w:val="0018235E"/>
    <w:rsid w:val="0019337A"/>
    <w:rsid w:val="001939D8"/>
    <w:rsid w:val="001A1C68"/>
    <w:rsid w:val="001A217F"/>
    <w:rsid w:val="001E0F51"/>
    <w:rsid w:val="001F31D2"/>
    <w:rsid w:val="001F6E1A"/>
    <w:rsid w:val="00205B63"/>
    <w:rsid w:val="00235180"/>
    <w:rsid w:val="00240126"/>
    <w:rsid w:val="00252E6A"/>
    <w:rsid w:val="00253E30"/>
    <w:rsid w:val="0026422C"/>
    <w:rsid w:val="002661A6"/>
    <w:rsid w:val="00266C23"/>
    <w:rsid w:val="00266E2F"/>
    <w:rsid w:val="00284B04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072F"/>
    <w:rsid w:val="00303D18"/>
    <w:rsid w:val="00304932"/>
    <w:rsid w:val="00307ADD"/>
    <w:rsid w:val="003130CA"/>
    <w:rsid w:val="00316A25"/>
    <w:rsid w:val="003540A9"/>
    <w:rsid w:val="003619FD"/>
    <w:rsid w:val="00362995"/>
    <w:rsid w:val="003706A1"/>
    <w:rsid w:val="00371F54"/>
    <w:rsid w:val="00383A95"/>
    <w:rsid w:val="003A3021"/>
    <w:rsid w:val="003B6E16"/>
    <w:rsid w:val="003D27CB"/>
    <w:rsid w:val="003E031D"/>
    <w:rsid w:val="003E6BF6"/>
    <w:rsid w:val="003F0F0D"/>
    <w:rsid w:val="0040173E"/>
    <w:rsid w:val="004234C0"/>
    <w:rsid w:val="00435324"/>
    <w:rsid w:val="00436FB3"/>
    <w:rsid w:val="00463FA8"/>
    <w:rsid w:val="0048583D"/>
    <w:rsid w:val="00486BC5"/>
    <w:rsid w:val="00494335"/>
    <w:rsid w:val="004A038B"/>
    <w:rsid w:val="004B2D35"/>
    <w:rsid w:val="004B399D"/>
    <w:rsid w:val="004B584E"/>
    <w:rsid w:val="004C1106"/>
    <w:rsid w:val="004C2E78"/>
    <w:rsid w:val="004C7158"/>
    <w:rsid w:val="004E2269"/>
    <w:rsid w:val="00503A51"/>
    <w:rsid w:val="00512309"/>
    <w:rsid w:val="00527AA8"/>
    <w:rsid w:val="0054526E"/>
    <w:rsid w:val="005476B5"/>
    <w:rsid w:val="005822FD"/>
    <w:rsid w:val="005A3F63"/>
    <w:rsid w:val="005B073E"/>
    <w:rsid w:val="005B227F"/>
    <w:rsid w:val="005B2324"/>
    <w:rsid w:val="005B2E76"/>
    <w:rsid w:val="005B3CA2"/>
    <w:rsid w:val="005B7801"/>
    <w:rsid w:val="005D52BD"/>
    <w:rsid w:val="005D5A55"/>
    <w:rsid w:val="005D5FAE"/>
    <w:rsid w:val="005E074A"/>
    <w:rsid w:val="005F29B7"/>
    <w:rsid w:val="00606EB5"/>
    <w:rsid w:val="00617FDA"/>
    <w:rsid w:val="006219FA"/>
    <w:rsid w:val="006320E7"/>
    <w:rsid w:val="00634E4C"/>
    <w:rsid w:val="00636B8B"/>
    <w:rsid w:val="006427FE"/>
    <w:rsid w:val="00642C90"/>
    <w:rsid w:val="006506C1"/>
    <w:rsid w:val="0066674D"/>
    <w:rsid w:val="00666A78"/>
    <w:rsid w:val="0069375D"/>
    <w:rsid w:val="0069407C"/>
    <w:rsid w:val="0069574E"/>
    <w:rsid w:val="006A01B1"/>
    <w:rsid w:val="006E00D8"/>
    <w:rsid w:val="006F145A"/>
    <w:rsid w:val="006F27CB"/>
    <w:rsid w:val="006F5865"/>
    <w:rsid w:val="006F5E27"/>
    <w:rsid w:val="00711C49"/>
    <w:rsid w:val="0074050E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2402F"/>
    <w:rsid w:val="00824E28"/>
    <w:rsid w:val="008408DF"/>
    <w:rsid w:val="00845843"/>
    <w:rsid w:val="008636CF"/>
    <w:rsid w:val="008637EC"/>
    <w:rsid w:val="00870BC6"/>
    <w:rsid w:val="00885A14"/>
    <w:rsid w:val="0088689B"/>
    <w:rsid w:val="0089031E"/>
    <w:rsid w:val="00890FA0"/>
    <w:rsid w:val="008A214D"/>
    <w:rsid w:val="008A72D2"/>
    <w:rsid w:val="008B3745"/>
    <w:rsid w:val="008B6868"/>
    <w:rsid w:val="008B6B11"/>
    <w:rsid w:val="008C6A43"/>
    <w:rsid w:val="008D080C"/>
    <w:rsid w:val="008D6CDA"/>
    <w:rsid w:val="008F66EC"/>
    <w:rsid w:val="00906799"/>
    <w:rsid w:val="00921B15"/>
    <w:rsid w:val="00924152"/>
    <w:rsid w:val="00927434"/>
    <w:rsid w:val="0093194D"/>
    <w:rsid w:val="00934C3F"/>
    <w:rsid w:val="009417AE"/>
    <w:rsid w:val="00952D4C"/>
    <w:rsid w:val="0097783F"/>
    <w:rsid w:val="009979F4"/>
    <w:rsid w:val="009A45B2"/>
    <w:rsid w:val="009C4008"/>
    <w:rsid w:val="009D2DDD"/>
    <w:rsid w:val="009F4C39"/>
    <w:rsid w:val="00A04C7D"/>
    <w:rsid w:val="00A24D11"/>
    <w:rsid w:val="00A33802"/>
    <w:rsid w:val="00A37E51"/>
    <w:rsid w:val="00A62D31"/>
    <w:rsid w:val="00A64F38"/>
    <w:rsid w:val="00A751B1"/>
    <w:rsid w:val="00A92288"/>
    <w:rsid w:val="00A97E3B"/>
    <w:rsid w:val="00AB039E"/>
    <w:rsid w:val="00AB1AE7"/>
    <w:rsid w:val="00AC286B"/>
    <w:rsid w:val="00AD0FAB"/>
    <w:rsid w:val="00AE1CE1"/>
    <w:rsid w:val="00AF129F"/>
    <w:rsid w:val="00AF5893"/>
    <w:rsid w:val="00B0348A"/>
    <w:rsid w:val="00B12CF6"/>
    <w:rsid w:val="00B12DC9"/>
    <w:rsid w:val="00B13F84"/>
    <w:rsid w:val="00B15ABA"/>
    <w:rsid w:val="00B168D5"/>
    <w:rsid w:val="00B23077"/>
    <w:rsid w:val="00B3782C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B75D4"/>
    <w:rsid w:val="00BC1E8F"/>
    <w:rsid w:val="00BC2832"/>
    <w:rsid w:val="00BD06AB"/>
    <w:rsid w:val="00BD74A8"/>
    <w:rsid w:val="00BD7DF2"/>
    <w:rsid w:val="00C00FDA"/>
    <w:rsid w:val="00C024F4"/>
    <w:rsid w:val="00C04E4B"/>
    <w:rsid w:val="00C1313E"/>
    <w:rsid w:val="00C13A55"/>
    <w:rsid w:val="00C201BB"/>
    <w:rsid w:val="00C235A8"/>
    <w:rsid w:val="00C302E7"/>
    <w:rsid w:val="00C35BBC"/>
    <w:rsid w:val="00C62BF5"/>
    <w:rsid w:val="00C636DA"/>
    <w:rsid w:val="00C72271"/>
    <w:rsid w:val="00C76BD7"/>
    <w:rsid w:val="00C8274D"/>
    <w:rsid w:val="00C91AD9"/>
    <w:rsid w:val="00CA1EAA"/>
    <w:rsid w:val="00CA6FF9"/>
    <w:rsid w:val="00CB306B"/>
    <w:rsid w:val="00CB4238"/>
    <w:rsid w:val="00CC176E"/>
    <w:rsid w:val="00CC34EB"/>
    <w:rsid w:val="00CC4A14"/>
    <w:rsid w:val="00CC66EA"/>
    <w:rsid w:val="00CD2D96"/>
    <w:rsid w:val="00CE2E48"/>
    <w:rsid w:val="00D021F7"/>
    <w:rsid w:val="00D078A2"/>
    <w:rsid w:val="00D11BB4"/>
    <w:rsid w:val="00D2005C"/>
    <w:rsid w:val="00D20D27"/>
    <w:rsid w:val="00D3646F"/>
    <w:rsid w:val="00D461C2"/>
    <w:rsid w:val="00D531E5"/>
    <w:rsid w:val="00D61AAE"/>
    <w:rsid w:val="00D637B7"/>
    <w:rsid w:val="00D91BC9"/>
    <w:rsid w:val="00DA4C48"/>
    <w:rsid w:val="00DA727D"/>
    <w:rsid w:val="00DB10D9"/>
    <w:rsid w:val="00DB53A7"/>
    <w:rsid w:val="00DB63D5"/>
    <w:rsid w:val="00DC5900"/>
    <w:rsid w:val="00DD170F"/>
    <w:rsid w:val="00DE0A8A"/>
    <w:rsid w:val="00DF2CF8"/>
    <w:rsid w:val="00DF6E54"/>
    <w:rsid w:val="00E01BFE"/>
    <w:rsid w:val="00E04228"/>
    <w:rsid w:val="00E04457"/>
    <w:rsid w:val="00E04BBC"/>
    <w:rsid w:val="00E148E4"/>
    <w:rsid w:val="00E159D7"/>
    <w:rsid w:val="00E15B29"/>
    <w:rsid w:val="00E21653"/>
    <w:rsid w:val="00E2414E"/>
    <w:rsid w:val="00E35541"/>
    <w:rsid w:val="00E405DE"/>
    <w:rsid w:val="00E54BCF"/>
    <w:rsid w:val="00E7257D"/>
    <w:rsid w:val="00E84A6B"/>
    <w:rsid w:val="00E85FBB"/>
    <w:rsid w:val="00E920D7"/>
    <w:rsid w:val="00E92385"/>
    <w:rsid w:val="00E96DEA"/>
    <w:rsid w:val="00EA1FBB"/>
    <w:rsid w:val="00EA48AE"/>
    <w:rsid w:val="00EC457D"/>
    <w:rsid w:val="00EF2012"/>
    <w:rsid w:val="00EF2A15"/>
    <w:rsid w:val="00EF5BFD"/>
    <w:rsid w:val="00F1627B"/>
    <w:rsid w:val="00F34D63"/>
    <w:rsid w:val="00F34DCA"/>
    <w:rsid w:val="00F42EC2"/>
    <w:rsid w:val="00F76C98"/>
    <w:rsid w:val="00F80750"/>
    <w:rsid w:val="00F821A1"/>
    <w:rsid w:val="00F85F59"/>
    <w:rsid w:val="00F86DD4"/>
    <w:rsid w:val="00FA25B8"/>
    <w:rsid w:val="00FA494F"/>
    <w:rsid w:val="00FB4CF2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984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10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10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10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10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8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10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10"/>
      </w:numPr>
    </w:pPr>
  </w:style>
  <w:style w:type="numbering" w:customStyle="1" w:styleId="Lists">
    <w:name w:val="Lists"/>
    <w:uiPriority w:val="99"/>
    <w:rsid w:val="00CB4238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10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8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12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12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12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8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7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9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10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10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10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10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8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10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10"/>
      </w:numPr>
    </w:pPr>
  </w:style>
  <w:style w:type="numbering" w:customStyle="1" w:styleId="Lists">
    <w:name w:val="Lists"/>
    <w:uiPriority w:val="99"/>
    <w:rsid w:val="00CB4238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10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8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12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12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12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8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7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9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vinglearningnillumbik.vic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1ae508c6694d3eabd5c4bf0ac5e8e6 xmlns="26862788-80d8-4ba8-b7eb-4533621a9594">
      <Terms xmlns="http://schemas.microsoft.com/office/infopath/2007/PartnerControls"/>
    </a61ae508c6694d3eabd5c4bf0ac5e8e6>
    <TaxCatchAll xmlns="26862788-80d8-4ba8-b7eb-4533621a9594">
      <Value>186</Value>
      <Value>174</Value>
      <Value>200</Value>
    </TaxCatchAll>
    <ie805ea53a354a4bb1e5c081d8fc6b50 xmlns="26862788-80d8-4ba8-b7eb-4533621a9594">
      <Terms xmlns="http://schemas.microsoft.com/office/infopath/2007/PartnerControls">
        <TermInfo xmlns="http://schemas.microsoft.com/office/infopath/2007/PartnerControls">
          <TermName>2015</TermName>
          <TermId>97403b3a-9e46-43d0-b6c0-df983f69d886</TermId>
        </TermInfo>
      </Terms>
    </ie805ea53a354a4bb1e5c081d8fc6b50>
    <nb83ad0d8b6542a0953aad1a19640a7a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e90516d2-656a-418a-8f89-3a00a854a88f</TermId>
        </TermInfo>
      </Terms>
    </nb83ad0d8b6542a0953aad1a19640a7a>
    <af5fb63058044227923be7c80f79ea5b xmlns="1b81ce69-3cfb-4d66-b8dc-01116c7dd2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Creation</TermName>
          <TermId xmlns="http://schemas.microsoft.com/office/infopath/2007/PartnerControls">2339faaf-7f5d-4b07-8d73-7a742c7a5486</TermId>
        </TermInfo>
      </Terms>
    </af5fb63058044227923be7c80f79ea5b>
    <Facility_x0020_Name xmlns="26862788-80d8-4ba8-b7eb-4533621a9594" xsi:nil="true"/>
    <k3193585fea849898e1eed6a571f7d64 xmlns="1b81ce69-3cfb-4d66-b8dc-01116c7dd21a">
      <Terms xmlns="http://schemas.microsoft.com/office/infopath/2007/PartnerControls"/>
    </k3193585fea849898e1eed6a571f7d64>
    <Facility_x0020_Id xmlns="26862788-80d8-4ba8-b7eb-4533621a9594" xsi:nil="true"/>
    <e7dab65ea2234ddeb4dffead4ddcba15 xmlns="1b81ce69-3cfb-4d66-b8dc-01116c7dd21a">
      <Terms xmlns="http://schemas.microsoft.com/office/infopath/2007/PartnerControls"/>
    </e7dab65ea2234ddeb4dffead4ddcba15>
    <dd90131aaf5647459558e46f3d34b3cc xmlns="68e5d5d9-e633-43c4-bbf6-bf3164d6de59">
      <Terms xmlns="http://schemas.microsoft.com/office/infopath/2007/PartnerControls"/>
    </dd90131aaf5647459558e46f3d34b3cc>
    <b58ba729ddea4155853f0ffbec3484b4 xmlns="1b81ce69-3cfb-4d66-b8dc-01116c7dd21a">
      <Terms xmlns="http://schemas.microsoft.com/office/infopath/2007/PartnerControls"/>
    </b58ba729ddea4155853f0ffbec3484b4>
  </documentManagement>
</p:properties>
</file>

<file path=customXml/item2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e4672c0-7a1b-4167-8664-1f3b422d4b4e" ContentTypeId="0x0101000427F62DB85EA749944C48D2326AB041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SC Document" ma:contentTypeID="0x0101000427F62DB85EA749944C48D2326AB0410016B4159D95623B498116C34E9D7AA756" ma:contentTypeVersion="48" ma:contentTypeDescription="" ma:contentTypeScope="" ma:versionID="0a5ef0162c5e8ea6cf7604cf42e4a162">
  <xsd:schema xmlns:xsd="http://www.w3.org/2001/XMLSchema" xmlns:xs="http://www.w3.org/2001/XMLSchema" xmlns:p="http://schemas.microsoft.com/office/2006/metadata/properties" xmlns:ns2="26862788-80d8-4ba8-b7eb-4533621a9594" xmlns:ns3="1b81ce69-3cfb-4d66-b8dc-01116c7dd21a" xmlns:ns4="68e5d5d9-e633-43c4-bbf6-bf3164d6de59" targetNamespace="http://schemas.microsoft.com/office/2006/metadata/properties" ma:root="true" ma:fieldsID="fdde126c39621d58b3ac05bfc1705cee" ns2:_="" ns3:_="" ns4:_="">
    <xsd:import namespace="26862788-80d8-4ba8-b7eb-4533621a9594"/>
    <xsd:import namespace="1b81ce69-3cfb-4d66-b8dc-01116c7dd21a"/>
    <xsd:import namespace="68e5d5d9-e633-43c4-bbf6-bf3164d6de59"/>
    <xsd:element name="properties">
      <xsd:complexType>
        <xsd:sequence>
          <xsd:element name="documentManagement">
            <xsd:complexType>
              <xsd:all>
                <xsd:element ref="ns2:Facility_x0020_Name" minOccurs="0"/>
                <xsd:element ref="ns2:Facility_x0020_Id" minOccurs="0"/>
                <xsd:element ref="ns2:nb83ad0d8b6542a0953aad1a19640a7a" minOccurs="0"/>
                <xsd:element ref="ns3:af5fb63058044227923be7c80f79ea5b" minOccurs="0"/>
                <xsd:element ref="ns3:k3193585fea849898e1eed6a571f7d64" minOccurs="0"/>
                <xsd:element ref="ns2:a61ae508c6694d3eabd5c4bf0ac5e8e6" minOccurs="0"/>
                <xsd:element ref="ns3:b58ba729ddea4155853f0ffbec3484b4" minOccurs="0"/>
                <xsd:element ref="ns2:TaxCatchAll" minOccurs="0"/>
                <xsd:element ref="ns3:e7dab65ea2234ddeb4dffead4ddcba15" minOccurs="0"/>
                <xsd:element ref="ns2:ie805ea53a354a4bb1e5c081d8fc6b50" minOccurs="0"/>
                <xsd:element ref="ns2:TaxCatchAllLabel" minOccurs="0"/>
                <xsd:element ref="ns4:dd90131aaf5647459558e46f3d34b3c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2788-80d8-4ba8-b7eb-4533621a9594" elementFormDefault="qualified">
    <xsd:import namespace="http://schemas.microsoft.com/office/2006/documentManagement/types"/>
    <xsd:import namespace="http://schemas.microsoft.com/office/infopath/2007/PartnerControls"/>
    <xsd:element name="Facility_x0020_Name" ma:index="10" nillable="true" ma:displayName="Facility Name" ma:internalName="Facility_x0020_Name0">
      <xsd:simpleType>
        <xsd:restriction base="dms:Text">
          <xsd:maxLength value="255"/>
        </xsd:restriction>
      </xsd:simpleType>
    </xsd:element>
    <xsd:element name="Facility_x0020_Id" ma:index="11" nillable="true" ma:displayName="Facility Id" ma:internalName="Facility_x0020_Id">
      <xsd:simpleType>
        <xsd:restriction base="dms:Text">
          <xsd:maxLength value="255"/>
        </xsd:restriction>
      </xsd:simpleType>
    </xsd:element>
    <xsd:element name="nb83ad0d8b6542a0953aad1a19640a7a" ma:index="13" ma:taxonomy="true" ma:internalName="nb83ad0d8b6542a0953aad1a19640a7a" ma:taxonomyFieldName="Document_x0020_Type" ma:displayName="Document Type" ma:readOnly="false" ma:default="" ma:fieldId="{7b83ad0d-8b65-42a0-953a-ad1a19640a7a}" ma:sspId="9e4672c0-7a1b-4167-8664-1f3b422d4b4e" ma:termSetId="e69d177f-e349-4ec7-a09f-85ab766d1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1ae508c6694d3eabd5c4bf0ac5e8e6" ma:index="20" nillable="true" ma:taxonomy="true" ma:internalName="a61ae508c6694d3eabd5c4bf0ac5e8e6" ma:taxonomyFieldName="Month" ma:displayName="Month" ma:default="" ma:fieldId="{a61ae508-c669-4d3e-abd5-c4bf0ac5e8e6}" ma:sspId="9e4672c0-7a1b-4167-8664-1f3b422d4b4e" ma:termSetId="9f8d48b0-8c46-4388-8325-b61075638f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2d462f4-3381-457d-8d5c-0d659a8bc580}" ma:internalName="TaxCatchAll" ma:showField="CatchAllData" ma:web="1b81ce69-3cfb-4d66-b8dc-01116c7dd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805ea53a354a4bb1e5c081d8fc6b50" ma:index="25" nillable="true" ma:taxonomy="true" ma:internalName="ie805ea53a354a4bb1e5c081d8fc6b50" ma:taxonomyFieldName="Year" ma:displayName="Year" ma:default="" ma:fieldId="{2e805ea5-3a35-4a4b-b1e5-c081d8fc6b50}" ma:sspId="9e4672c0-7a1b-4167-8664-1f3b422d4b4e" ma:termSetId="5ce2c6b3-ad11-4dad-b6ee-bb7dd619e0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02d462f4-3381-457d-8d5c-0d659a8bc580}" ma:internalName="TaxCatchAllLabel" ma:readOnly="true" ma:showField="CatchAllDataLabel" ma:web="1b81ce69-3cfb-4d66-b8dc-01116c7dd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1ce69-3cfb-4d66-b8dc-01116c7dd21a" elementFormDefault="qualified">
    <xsd:import namespace="http://schemas.microsoft.com/office/2006/documentManagement/types"/>
    <xsd:import namespace="http://schemas.microsoft.com/office/infopath/2007/PartnerControls"/>
    <xsd:element name="af5fb63058044227923be7c80f79ea5b" ma:index="16" ma:taxonomy="true" ma:internalName="af5fb63058044227923be7c80f79ea5b" ma:taxonomyFieldName="BusinessSubject" ma:displayName="Business Subject" ma:indexed="true" ma:default="" ma:fieldId="{af5fb630-5804-4227-923b-e7c80f79ea5b}" ma:sspId="9e4672c0-7a1b-4167-8664-1f3b422d4b4e" ma:termSetId="7a31ce49-b22a-42eb-ae60-9a52df915174" ma:anchorId="27889b15-5790-4703-afbb-02af0e595c42" ma:open="false" ma:isKeyword="false">
      <xsd:complexType>
        <xsd:sequence>
          <xsd:element ref="pc:Terms" minOccurs="0" maxOccurs="1"/>
        </xsd:sequence>
      </xsd:complexType>
    </xsd:element>
    <xsd:element name="k3193585fea849898e1eed6a571f7d64" ma:index="19" nillable="true" ma:taxonomy="true" ma:internalName="k3193585fea849898e1eed6a571f7d64" ma:taxonomyFieldName="Course_x0020__x002F__x0020_Event" ma:displayName="Course / Event" ma:indexed="true" ma:default="" ma:fieldId="{43193585-fea8-4989-8e1e-ed6a571f7d64}" ma:sspId="9e4672c0-7a1b-4167-8664-1f3b422d4b4e" ma:termSetId="4037b1a8-0dad-4095-92dd-63ec01b5c5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58ba729ddea4155853f0ffbec3484b4" ma:index="21" nillable="true" ma:taxonomy="true" ma:internalName="b58ba729ddea4155853f0ffbec3484b4" ma:taxonomyFieldName="Organisational_x0020__x002F__x0020_Body" ma:displayName="Organisational / Body" ma:default="" ma:fieldId="{b58ba729-ddea-4155-853f-0ffbec3484b4}" ma:sspId="9e4672c0-7a1b-4167-8664-1f3b422d4b4e" ma:termSetId="8bb6d8fc-7643-4103-89b0-b5ea4da25c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7dab65ea2234ddeb4dffead4ddcba15" ma:index="23" nillable="true" ma:taxonomy="true" ma:internalName="e7dab65ea2234ddeb4dffead4ddcba15" ma:taxonomyFieldName="Standards_x0020__x002F__x0020_Guidelines" ma:displayName="Standards / Guidelines" ma:default="" ma:fieldId="{e7dab65e-a223-4dde-b4df-fead4ddcba15}" ma:sspId="9e4672c0-7a1b-4167-8664-1f3b422d4b4e" ma:termSetId="9d1fd022-5c79-4fbb-9e93-6fd59551cae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d5d9-e633-43c4-bbf6-bf3164d6de59" elementFormDefault="qualified">
    <xsd:import namespace="http://schemas.microsoft.com/office/2006/documentManagement/types"/>
    <xsd:import namespace="http://schemas.microsoft.com/office/infopath/2007/PartnerControls"/>
    <xsd:element name="dd90131aaf5647459558e46f3d34b3cc" ma:index="27" nillable="true" ma:taxonomy="true" ma:internalName="dd90131aaf5647459558e46f3d34b3cc" ma:taxonomyFieldName="Topic" ma:displayName="Topic" ma:default="" ma:fieldId="{dd90131a-af56-4745-9558-e46f3d34b3cc}" ma:sspId="9e4672c0-7a1b-4167-8664-1f3b422d4b4e" ma:termSetId="194dac5b-8fdd-4e04-8ca9-ba916db197e1" ma:anchorId="43328448-5081-41d0-ab02-e18506a5be72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ScannedMailReceiver</Name>
    <Synchronization>Synchronous</Synchronization>
    <Type>2</Type>
    <SequenceNumber>1000</SequenceNumber>
    <Assembly>Nillumbik.IncomingMail, Version=1.0.0.0, Culture=neutral, PublicKeyToken=28b4d387f20cac61</Assembly>
    <Class>Nillumbik.IncomingMail.EventReceivers.ScannedMailReceiver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1169-21CF-48D7-A7FA-984EFA77463C}"/>
</file>

<file path=customXml/itemProps2.xml><?xml version="1.0" encoding="utf-8"?>
<ds:datastoreItem xmlns:ds="http://schemas.openxmlformats.org/officeDocument/2006/customXml" ds:itemID="{5FCAAA58-93B2-4B0D-B942-3774138F0FEC}"/>
</file>

<file path=customXml/itemProps3.xml><?xml version="1.0" encoding="utf-8"?>
<ds:datastoreItem xmlns:ds="http://schemas.openxmlformats.org/officeDocument/2006/customXml" ds:itemID="{ACB1E891-5ABD-4574-AC69-F42FA3F5AFAC}"/>
</file>

<file path=customXml/itemProps4.xml><?xml version="1.0" encoding="utf-8"?>
<ds:datastoreItem xmlns:ds="http://schemas.openxmlformats.org/officeDocument/2006/customXml" ds:itemID="{1569320A-5AC0-4494-89BF-EC3B5F6122E5}"/>
</file>

<file path=customXml/itemProps5.xml><?xml version="1.0" encoding="utf-8"?>
<ds:datastoreItem xmlns:ds="http://schemas.openxmlformats.org/officeDocument/2006/customXml" ds:itemID="{45E884DC-5F69-49E4-A652-B7E65A4B9B04}"/>
</file>

<file path=customXml/itemProps6.xml><?xml version="1.0" encoding="utf-8"?>
<ds:datastoreItem xmlns:ds="http://schemas.openxmlformats.org/officeDocument/2006/customXml" ds:itemID="{E7D607D1-EDCD-44D4-BFF3-111AE13ACBDB}"/>
</file>

<file path=customXml/itemProps7.xml><?xml version="1.0" encoding="utf-8"?>
<ds:datastoreItem xmlns:ds="http://schemas.openxmlformats.org/officeDocument/2006/customXml" ds:itemID="{A7C638B3-2F1B-4946-9E94-E5611BFC81AD}"/>
</file>

<file path=customXml/itemProps8.xml><?xml version="1.0" encoding="utf-8"?>
<ds:datastoreItem xmlns:ds="http://schemas.openxmlformats.org/officeDocument/2006/customXml" ds:itemID="{6484D673-313A-4DB9-8D8A-BEE712D90AFD}"/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 review - HR13 - Management of RTO staff and trainers v2</vt:lpstr>
    </vt:vector>
  </TitlesOfParts>
  <Company>Nillumbik Shire Council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v3</dc:title>
  <dc:creator>Karyn Kamminga</dc:creator>
  <cp:lastModifiedBy>Cindy Geyer</cp:lastModifiedBy>
  <cp:revision>4</cp:revision>
  <cp:lastPrinted>2015-09-04T01:54:00Z</cp:lastPrinted>
  <dcterms:created xsi:type="dcterms:W3CDTF">2016-10-28T04:47:00Z</dcterms:created>
  <dcterms:modified xsi:type="dcterms:W3CDTF">2016-10-28T04:58:00Z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0x0101000427F62DB85EA749944C48D2326AB0410016B4159D95623B498116C34E9D7AA756</vt:lpwstr>
  </property>
  <property fmtid="{D5CDD505-2E9C-101B-9397-08002B2CF9AE}" pid="3" name="Course_x0020__x002F__x0020_Event">
    <vt:lpwstr>54;#All VET courses|1cee47aa-d99c-4d53-ad61-804a7a1acb46</vt:lpwstr>
  </property>
  <property fmtid="{D5CDD505-2E9C-101B-9397-08002B2CF9AE}" pid="4" name="Document_x0020_Type">
    <vt:lpwstr>385;#Policy|e90516d2-656a-418a-8f89-3a00a854a88f</vt:lpwstr>
  </property>
  <property fmtid="{D5CDD505-2E9C-101B-9397-08002B2CF9AE}" pid="5" name="BusinessSubject">
    <vt:lpwstr>186;#Policy Creation|2339faaf-7f5d-4b07-8d73-7a742c7a5486</vt:lpwstr>
  </property>
  <property fmtid="{D5CDD505-2E9C-101B-9397-08002B2CF9AE}" pid="6" name="Year">
    <vt:lpwstr>200;#2015|97403b3a-9e46-43d0-b6c0-df983f69d886</vt:lpwstr>
  </property>
  <property fmtid="{D5CDD505-2E9C-101B-9397-08002B2CF9AE}" pid="7" name="Month">
    <vt:lpwstr/>
  </property>
  <property fmtid="{D5CDD505-2E9C-101B-9397-08002B2CF9AE}" pid="8" name="Organisational_x0020__x002F__x0020_Body">
    <vt:lpwstr/>
  </property>
  <property fmtid="{D5CDD505-2E9C-101B-9397-08002B2CF9AE}" pid="9" name="Standards_x0020__x002F__x0020_Guidelines">
    <vt:lpwstr/>
  </property>
  <property fmtid="{D5CDD505-2E9C-101B-9397-08002B2CF9AE}" pid="10" name="Organisational / Body">
    <vt:lpwstr/>
  </property>
  <property fmtid="{D5CDD505-2E9C-101B-9397-08002B2CF9AE}" pid="11" name="Course / Event">
    <vt:lpwstr/>
  </property>
  <property fmtid="{D5CDD505-2E9C-101B-9397-08002B2CF9AE}" pid="12" name="Document Type">
    <vt:lpwstr>174;#Policy|e90516d2-656a-418a-8f89-3a00a854a88f</vt:lpwstr>
  </property>
  <property fmtid="{D5CDD505-2E9C-101B-9397-08002B2CF9AE}" pid="13" name="Standards / Guidelines">
    <vt:lpwstr/>
  </property>
  <property fmtid="{D5CDD505-2E9C-101B-9397-08002B2CF9AE}" pid="14" name="_dlc_DocIdItemGuid">
    <vt:lpwstr>790b4455-3659-4f2c-b61a-d395928b1d36</vt:lpwstr>
  </property>
  <property fmtid="{D5CDD505-2E9C-101B-9397-08002B2CF9AE}" pid="15" name="QMS_x0020_Document_x0020_Type">
    <vt:lpwstr>255;#Policy or procedure|d1fa9a7f-50c6-44a2-8268-30dff8d98de7</vt:lpwstr>
  </property>
  <property fmtid="{D5CDD505-2E9C-101B-9397-08002B2CF9AE}" pid="16" name="QMS_x0020_Business_x0020_Area">
    <vt:lpwstr>253;#Training and Assessment|03c3d37f-da72-4c56-8ef3-906e70374397</vt:lpwstr>
  </property>
  <property fmtid="{D5CDD505-2E9C-101B-9397-08002B2CF9AE}" pid="17" name="QMS Business Area">
    <vt:lpwstr>257;#Human Resources|35cb7f5e-5438-42c5-8c82-97f9595fbc71</vt:lpwstr>
  </property>
  <property fmtid="{D5CDD505-2E9C-101B-9397-08002B2CF9AE}" pid="18" name="QMS Document Type">
    <vt:lpwstr>255;#Policy or procedure|d1fa9a7f-50c6-44a2-8268-30dff8d98de7</vt:lpwstr>
  </property>
  <property fmtid="{D5CDD505-2E9C-101B-9397-08002B2CF9AE}" pid="19" name="Policy_x0020_Type">
    <vt:lpwstr>114;#Policy|f002205f-7bed-4438-bacc-7470d5074dcd</vt:lpwstr>
  </property>
  <property fmtid="{D5CDD505-2E9C-101B-9397-08002B2CF9AE}" pid="20" name="Order">
    <vt:r8>1400</vt:r8>
  </property>
  <property fmtid="{D5CDD505-2E9C-101B-9397-08002B2CF9AE}" pid="21" name="NSC_BusinessSubject">
    <vt:lpwstr>692;#Policies|ebb5e5d9-2947-43d6-8d70-4b6de0a01f82</vt:lpwstr>
  </property>
  <property fmtid="{D5CDD505-2E9C-101B-9397-08002B2CF9AE}" pid="22" name="Group1">
    <vt:lpwstr>439;#Living and Learning|c4b7ca4c-4ba7-47e9-a67d-1769ca6c4bb8</vt:lpwstr>
  </property>
  <property fmtid="{D5CDD505-2E9C-101B-9397-08002B2CF9AE}" pid="23" name="Policy Type">
    <vt:lpwstr>114;#Policy|f002205f-7bed-4438-bacc-7470d5074dcd</vt:lpwstr>
  </property>
  <property fmtid="{D5CDD505-2E9C-101B-9397-08002B2CF9AE}" pid="24" name="nb83ad0d8b6542a0953aad1a19640a7a">
    <vt:lpwstr>Policy|e90516d2-656a-418a-8f89-3a00a854a88f</vt:lpwstr>
  </property>
  <property fmtid="{D5CDD505-2E9C-101B-9397-08002B2CF9AE}" pid="25" name="Topic">
    <vt:lpwstr/>
  </property>
</Properties>
</file>